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China’s naval blockade of the Taiwan Strait moves into its 23rd day of tension. Following a strong rebuke of China’s actions by Prime Minister Carney, Canadian ambassadors at the Canadian Trade office in Taipei have been recalled, effective immediately.</w:t>
      </w:r>
    </w:p>
    <w:p>
      <w:pPr>
        <w:pStyle w:val="normal1"/>
        <w:ind w:hanging="0" w:left="-1080" w:right="-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pPr>
        <w:pStyle w:val="normal1"/>
        <w:ind w:hanging="0" w:left="-1080" w:right="-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Investigators are saying they suspect criminal intent in relation to the fire at the downtown Toronto Marriott last month. While a suspect has not been announced, the TPD confirmed in a recent press interview that there is evidence correlating the alleged arson to individuals who protested an Israeli tech conference that was occurring at the hotel at the time. No further information is currently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Supreme Court has reached a verdict on a case of domestic violence where a Ring camera was used as a critical form of evidence. The Ring camera, which was placed inside the home of a neighbour, faced the accused’s bedroom, capturing clear evidence of abuse. However, the court ruled this evidence inadmissible, as it breached privacy rights by non-consensually recording a private residence. The case was thrown out and the accused walked free. Although the court said in their verdict that they regretted the lack of consequences for the accused, the potential ramifications the precedent would set for privacy rights was too high to indict.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AI is helping kids keep safe online with instant photographic age verification. The Toronto-based Artificial Intelligence startup Kronosure has been acquired by Meta as a way to enforce the ban on social media usage for children under the age of 16.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Gracie Abrams releases her fourth album today, titled, </w:t>
      </w:r>
      <w:r>
        <w:rPr>
          <w:rFonts w:eastAsia="IBM Plex Serif" w:cs="IBM Plex Serif" w:ascii="IBM Plex Serif" w:hAnsi="IBM Plex Serif"/>
          <w:i/>
          <w:iCs/>
          <w:sz w:val="28"/>
          <w:szCs w:val="28"/>
        </w:rPr>
        <w:t>Through a Glass, Sparkling.</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Paris Fashion Week kicked off on September 27th, showcasing the womenswear collection for Spring/Summer 28. and is set to wrap up on the sixth. Fashion houses showcased so far include Acne Studios, Rick Owens, Givenchy, Chanel, and Saint Laurent. Louis Vuitton will close out the event on the sixth.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5</Pages>
  <Words>1750</Words>
  <Characters>9359</Characters>
  <CharactersWithSpaces>11101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2026-09-16T17:26:48Z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