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In Western Sahara, three years after Christopher Nolan completed filming his Odyssey blockbuster feature in the disputed territory, locals are experiencing an unexpected phenomenon: cinephile adventure tourists. Moroccan companies have begun offering unlicensed package ‘Odyssey tours’ of the filming locations of the hit 2026 film. Despite major transit disruption, high summer temperatures, a lack of adequate housing and incomplete legal recognition, July and August tourist numbers reached record levels, with thousands of foreigners passing through the transit hub at Dakhla. The influx of tourists and international currency has bolstered a booming service economy in the area, with many businesses operating informally and advertising Odyssey-themed food, drink, and entertainment experiences. Western Sahara remains partially recognized as Moroccan territory, sparking controversy over Nolan’s filming in the area for the Oscar-nominated adaptation of the classical Greek epic poem.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Havana’s live music scene continues to thrive despite severe damage to the Old City. Atmospheric instability, restricted trade due to embargo, and critical fuel shortages have resulted in major curtailments to quality of life for most Cubans, which have persisted through the weakening of the American embargo and the reestablishment of the national electrical grid in early 2027. However, live music performance in central Havana continues, with many bars and restaurants continuing to host public bands and dance spaces. Humberto Quilano, a professional drummer and lifelong Havana resident, stated: “We have survived everything already. Playing music is how we survive. Why would we stop now?” Havana was the first Cuban city to reestablish reliable electricity supplies following the 2026 grid collapse, leading to considerable internal migration from the Cienfuegos and Santiago regions of the country. Quilano added: “Young people are always wanting to learn how to play and play their own stuff. Life is still happening, new things are still happening. I’m grateful for them.”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10</Pages>
  <Words>3803</Words>
  <Characters>20247</Characters>
  <CharactersWithSpaces>24029</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2026-09-16T17:38:38Z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