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Trump administration is yet again receiving widespread criticism for sending deportees to alternative countries besides their homelands. Reports of packed commercial flights headed towards Southern Guyana, which has generally been devoid of human occupation since concurrent fallings began in the area last May. Experts say the region receives approximately one impact a week, making the area incredibly dangerous. Beyond environmental hazards, the area has been without utilities, medical resources and stable food sources for months. The deportations have been called “executions from above” and have been widely condemned as inhumane and antidemocratic.</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Misty the golden retriever/husky mix has made news by taking herself to doggie daycare Friday morning. Misty’s owner had kept her home this past Friday because she had a vet appointment later in the day. Misty however, had other plans. The seven-year old Saskatoon native decided to take matters into her own paws when things did not go according to her usual weekly schedule by digging herself out and under her backyard fence and setting herself free. Thankfully, it’s only about a 10-minute walk to Fifi’s Day and Play, so once at her destination, Misty’s owner was called, and she was safely returned.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Recent investigation by independent journalists has uncovered that multiple popular brands of e-bikes including, CityRide, DCBike</w:t>
      </w:r>
      <w:r>
        <w:rPr>
          <w:rFonts w:eastAsia="IBM Plex Serif" w:cs="IBM Plex Serif" w:ascii="IBM Plex Serif" w:hAnsi="IBM Plex Serif"/>
          <w:color w:val="171717"/>
          <w:sz w:val="28"/>
          <w:szCs w:val="28"/>
          <w:highlight w:val="white"/>
        </w:rPr>
        <w:t xml:space="preserve"> </w:t>
      </w:r>
      <w:r>
        <w:rPr>
          <w:rFonts w:eastAsia="IBM Plex Serif" w:cs="IBM Plex Serif" w:ascii="IBM Plex Serif" w:hAnsi="IBM Plex Serif"/>
          <w:sz w:val="28"/>
          <w:szCs w:val="28"/>
        </w:rPr>
        <w:t xml:space="preserve">and Cloverdale have begun including tracking sensors within the bikes frames, without any indication or opt-out option for consumers. The investigation has tied the collected data to multiple third-party data collection and sale platforms, indicating that the e-bike companies likely are profiting off the data. CityRide refused to comment, and Cloverdale released a statement saying that, quote, “We are currently conducting an internal investigation, to see if there is a potential leak in data from our facility. Cloverdale does collect data from its riders, but only for the purpose of functionality and repair work. This data is anonymized, and holds no identifying factors that could connect the data to the individual e-bike holder. While we at Cloverdale are concerned at the possibility that this data may have made it outside our organization, rest assured, all collected data is anonymized thoroughly, through our own randomizing software.”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response to the burden of increased infrastructural repair costs that Canadians are facing during this period of atmospheric fragmentation, Prime Minister Carney has announced a one time “fragment rehabilitation” credit. The credit, which ranges from $340 to $612, depending on household size, is available to all Canadians, regardless of property ownership. </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15</Pages>
  <Words>5687</Words>
  <Characters>30054</Characters>
  <CharactersWithSpaces>35713</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2026-09-16T17:28:55Z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