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40" w:before="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cul-de-sac in Shelburne, Vermont has been reduced to rubble after a piece of aerial debris made impact late last night. The street, which contained 12 luxury mansions, was thankfully unoccupied, as all residents were on extended vacations both locally and abroad.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Collingwood Cougar is back in the news. The large cat was sighted by several startled morning joggers recently only a week after it terrorized a group of young men on a fishing retreat outside Blue Mountain. Authorities urge anyone who sees the cat to take precautions and alert animal control.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Renewed efforts to restore the structural stability of Stonehenge begin in Wiltshire, England today. The world heritage site dates back to 3100 BC, and has been structurally unsound since an atmospheric fragment made impact in a nearby pasture last month. Archeologists hope they can strengthen the ancient site to ensure it remains standing for another hundred years.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Norway is set to become the first country to implement Universal Basic Income to all citizens after a historic motion passed 126 to 122 last Wednesday. Starting January 2028, all Norwegian citizens will receive a monthly stipend of $800 euros a month, regardless of income, to aid in covering basic expenses.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Waste removal employees in Toronto are set to strike next Monday.  The membership of the union CUPE Local 79 voted 98% in favour of collective action after weeks of unproductive discussions with their employer. Unless negotiators can come to a conclusion, it looks like we all might be down in the dumps for a little while.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set to vote on a new bill that would dismantle Canada Post next Thursday. The bill, brought to parliament by MP Anthony Housefather, would relinquish all mail and parcel services to private enterprise. The bill follows a reported 2.3 billion dollar loss by the federal mail service in 2026, with the loss for this year projected to exceed the previous loss.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data from Statistics Canada shows a continued decrease in the national crime rate. Following 2025’s historic 16% drop in homicides, along with an overall decrease in both violent and nonviolent crime, this past year’s 7% drop in homicides may seem like a bit of a let down. However, this is still a decrease in the amount of lives lost, and is an assuring change of direction from 2023’s 30-year high.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56</Pages>
  <Words>21689</Words>
  <Characters>113723</Characters>
  <CharactersWithSpaces>135302</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2026-09-16T17:29:15Z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