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pageBreakBefore w:val="false"/>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The Canadian government is announcing a temporary pause to all Freedom of Information Claims from both journalistic and civilian organizations. When questioned on the decision, press secretary Rachel Bendayan (Ben-day-an) stated that their office could not respond to the volume of claims, given the current atmospheric crisis. When a journalist mentioned the possible infringement on the Canadian Charter of Rights and Freedoms, Secretary Bendayan reminded the press that the invocation of the Emergencies Act, which occurred last December, has not yet been lifted by the government, thereby allowing this restriction of transparency. Civil Rights organizations across the country have promised to sue on behalf of citizens, although experts state that under the Emergencies Act, there is little chance of victory.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New Zealand has passed a referendum 56 to 54, banning the advertising of pharmaceuticals to the public. This decision means the United States is the only nation to allow unfettered drug advertising, although critics argue that the supposed restrictions to Canadian drug advertising are not nearly strong enough.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An explosion rang out Friday, October 2nd at 8:07 pm at Queens Park, drawing onlookers to Queens Park Circle and creating a column of smoke over the east wing of the building. No injuries are reported. A sanitation worker, who requested not to be named, the only individual on site, reports being in the legislature’s entrance way upon hearing the blast. They discovered a small fire in the east first floor washrooms, and were able to extinguish it before it spread.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Danielle Smith has confirmed that, despite potential concern about Charter violations, Alberta will have its separatist vote next Thursday. Polls are saying Albertan opinions are almost tied, though consistently still favour staying in the Canadian federation. Many believe this is due to fears of increased pressure to become an American state if Alberta was to separate. Smith has continually affirmed that this would not be a possibility, should the separation referendum pass.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The Gardiner Expressway is set to reopen tomorrow morning, after three weeks of repairs, due to aerial debris. Commutters should still expect delays as some portions of the expressway have reduced lanes, due to continuing repairs, but it will once again be possible to drive though. For us TTC commuters, hopefully this will also mean some extra room on those subway cars.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sectPr>
      <w:type w:val="nextPage"/>
      <w:pgSz w:w="12240" w:h="15840"/>
      <w:pgMar w:left="1440" w:right="360" w:gutter="0" w:header="0" w:top="360" w:footer="0" w:bottom="36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IBM Plex Serif">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s>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default="1">
    <w:name w:val="normal1"/>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18</TotalTime>
  <Application>LibreOffice/26.2.5.2$Windows_X86_64 LibreOffice_project/cd7284b4cbbfeb507e630c1aac019f4157393acb</Application>
  <AppVersion>15.0000</AppVersion>
  <Pages>19</Pages>
  <Words>7350</Words>
  <Characters>38373</Characters>
  <CharactersWithSpaces>45680</CharactersWithSpaces>
  <Paragraphs>94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en-CA</dc:language>
  <cp:lastModifiedBy/>
  <dcterms:modified xsi:type="dcterms:W3CDTF">2026-09-16T17:27:02Z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