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baffled by how the Premier does not recognize this value.” Toronto MPPs are pushing back against Ford’s land grab, with Vaughan local MPPs staying silent on the matter at this time.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12</Pages>
  <Words>4553</Words>
  <Characters>24124</Characters>
  <CharactersWithSpaces>28653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