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spacing w:before="0" w:after="0"/>
        <w:ind w:hanging="0" w:left="-1080"/>
        <w:rPr>
          <w:rFonts w:ascii="IBM Plex Serif" w:hAnsi="IBM Plex Serif" w:eastAsia="IBM Plex Serif" w:cs="IBM Plex Serif"/>
          <w:i/>
          <w:iCs/>
          <w:sz w:val="28"/>
          <w:szCs w:val="28"/>
        </w:rPr>
      </w:pPr>
      <w:r>
        <w:rPr>
          <w:rFonts w:eastAsia="IBM Plex Serif" w:cs="IBM Plex Serif" w:ascii="IBM Plex Serif" w:hAnsi="IBM Plex Serif"/>
          <w:sz w:val="28"/>
          <w:szCs w:val="28"/>
        </w:rPr>
        <w:t xml:space="preserve">Melbourne can’t get her out of its head! The City of Melbourne has recently unveiled the newly-named “Minogue Lane,” as an homage to the Australian-born “Princess of Pop,” Kylie Minogue. The </w:t>
      </w:r>
      <w:r>
        <w:rPr>
          <w:rFonts w:eastAsia="IBM Plex Serif" w:cs="IBM Plex Serif" w:ascii="IBM Plex Serif" w:hAnsi="IBM Plex Serif"/>
          <w:i/>
          <w:iCs/>
          <w:sz w:val="28"/>
          <w:szCs w:val="28"/>
        </w:rPr>
        <w:t xml:space="preserve">Padam Padam </w:t>
      </w:r>
      <w:r>
        <w:rPr>
          <w:rFonts w:eastAsia="IBM Plex Serif" w:cs="IBM Plex Serif" w:ascii="IBM Plex Serif" w:hAnsi="IBM Plex Serif"/>
          <w:sz w:val="28"/>
          <w:szCs w:val="28"/>
        </w:rPr>
        <w:t xml:space="preserve">singer was born in Melbourne in 1968 and went on to become a global sensation, selling millions of records all around the world. The City held a grand opening for the laneway this past Saturday afternoon, which was widely attended by fans in the city, along with some superfans coming in from cities across Australia just for the occasion. Some fans were disappointed that Minogue was unable to attend the event herself, as she is in the midst of her 40th anniversary tour. In lieu of her absence, the popstar sent a video sharing her gratitude and love for her hometown which was screened at the event. A collective of queer artists were commissioned by the city to paint a mural honouring Minogue in the laneway, which was ceremoniously unveiled at the start of the event. The mural depicts vibrant portraits of Minogue’s most iconic fashion looks and references to her album covers across the years. From the attendee’s enthusiastic responses onsite and shared on social media, you could say it was </w:t>
      </w:r>
      <w:r>
        <w:rPr>
          <w:rFonts w:eastAsia="IBM Plex Serif" w:cs="IBM Plex Serif" w:ascii="IBM Plex Serif" w:hAnsi="IBM Plex Serif"/>
          <w:i/>
          <w:iCs/>
          <w:sz w:val="28"/>
          <w:szCs w:val="28"/>
        </w:rPr>
        <w:t>Love at First Sight.</w:t>
      </w:r>
    </w:p>
    <w:p>
      <w:pPr>
        <w:pStyle w:val="normal1"/>
        <w:ind w:hanging="0" w:left="-1080"/>
        <w:rPr>
          <w:rFonts w:ascii="IBM Plex Serif" w:hAnsi="IBM Plex Serif" w:eastAsia="IBM Plex Serif" w:cs="IBM Plex Serif"/>
          <w:i/>
          <w:iCs/>
          <w:sz w:val="28"/>
          <w:szCs w:val="28"/>
        </w:rPr>
      </w:pPr>
      <w:r>
        <w:rPr>
          <w:rFonts w:eastAsia="IBM Plex Serif" w:cs="IBM Plex Serif" w:ascii="IBM Plex Serif" w:hAnsi="IBM Plex Serif"/>
          <w:i/>
          <w:iCs/>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Spain’s Cuenta region caught global attention after a ship containing only children arrived on their shoreline late last night. The small ship, which originated from Sudan, contained 136 children, all under the age of 15, and was navigated by two boys, aged 13 and 15. It is suspected that the absence of adult passengers was a desperate attempt to ensure the youth were accepted as asylum seekers, given the significant number of refugees who are currently being turned away from the country. Spain continues to experience a migrant crisis, receiving an average of four boats of refugees a week. These asylum seekers range in country of origin and reason for leaving their country, with most arriving from Morocco, Sudan, Yemen and Somalia.</w:t>
      </w:r>
    </w:p>
    <w:p>
      <w:pPr>
        <w:pStyle w:val="normal1"/>
        <w:ind w:hanging="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 year since the introduction of prediction markets to Canada shows they’re taking a toll on families. A recent University of Toronto study found a 27% increase in consumer debt in homes where prediction markets were utilized at least once a week. Prediction markets have been at the forefront of the national conversation since the death of nineteen-year-old UBC student, Noah Tremblay, who stated his reason for suicide was debt he incurred through the app. Harm reduction advocates have pushed to have a dedicated Canadian gambling addiction hotline available but the government has so far not put forward any plans to create one. Wealth Simple, the company responsible for bringing prediction markets to Canada, did not respond to requests for comment.</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8</Pages>
  <Words>3123</Words>
  <Characters>16447</Characters>
  <CharactersWithSpaces>19553</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2026-09-16T17:30:45Z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