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government of Vietnam has announced the first section of the 350km/h North-South Express high-speed rail network, linking Bình Trưng and Long Thanh, has broken ground in Ho Chi Minh City. The intercity mass transit project, overseen by the state-owned Vietnam Railway Company and utilizing Chinese-developed high-speed rail technology, is eventually planned to reach the nation’s capital, Hanoi, and facilitate cross-border travel into the Yunnan and Guangxi provinces of People’s Republic of China. Construction is slated to continue until 2035, with partial high-speed service between Ho Chi Minh City and Hanoi expected to commence in early 2032. The announcement comes amidst public and diplomatic pressure to accelerate the high-speed rail project, as commercial and freight airlines continue to decrease flight services throughout the region.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Pacific Northwest coastal otter populations appear to be increasing. Intermittent rises in sea levels appear to have resulted in a rebound of Pacific sea otter populations across the coast of Vancouver Island and the Salish Sea region. The American exclave of Point Roberts, with ferry service to the US mainland heavily disrupted, has seen the greatest increases in otter sightings, with other coastal municipalities in the region including Seattle and the Greater Vancouver area reporting unprecedented appearances across urban waterfronts and even city streets. Dr. Ana Emenko, a marine biologist contracted with the Provincial Government of British Columbia, has described the population increase as ‘near-miraculous’: “in a highly dynamic environment where many marine mammal species are struggling to adapt, the reappearance of these otters in major cities is a rare positive sign”. Emenko suggested that a sharp drop in ocean freight traffic appears to have bolstered an unusually productive breeding season for the otters, as well as an increase in their primary food supply due to increased populations of shallow-water shellfish such as oysters and clams.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21</Pages>
  <Words>7791</Words>
  <Characters>40855</Characters>
  <CharactersWithSpaces>48601</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2026-09-16T17:36:34Z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