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Swiss-UK mining conglomerate Glencore has announced the closure of several major rare-earth mining projects, including the controversial Mutanda cobalt mine in the Democratic Republic of Congo. The move comes in the aftermath of severe damage from aerial debris to key port facilities in West and Central Africa, and a reduction in oceanic freight traffic volume, which sent Glencore share prices tumbling in early 2027. The Mutanda mine, among the largest cobalt producers in the world, restarted operations after a lengthy closure in 2021, amidst mounting controversies surrounding labor conditions and dumping allegations among Congolese rare earth producers. An anonymous source from Tesla-SpaceX, the primary client served by the Mutanda mine, said that they considered the closure ‘woke’ and a political attack against the company’s founder, Elon Musk, adding that ‘epic profits can be realized from the project’ if regulators were willing to use competing port facilities in Eastern Africa.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Peruvian militant groups associated with the Shining Path insurgent movement have announced a reestablishment of hostilities, after several years of peace between the far-left militant group and Peruvian government authorities. Citing ‘right-wing neoliberal’ policies by incumbent President Keiko Fujimori, a spokesperson self-identifying as ‘Comandante Vargas’ claimed that large areas in the vicinity of Cuzco, the country’s seventh-largest city and the heart of its Quechua minority’s traditional territory, were ‘self-organizing’ in response to the government in Lima’s inaction against atmospheric ablation events, which have severely affected infrastructure in the mountainous Andes region. An anonymous source close to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Fujimori claimed that insurgent activities extended over the border into neighboring Bolivia, adding that ‘cocaleros and guns-for-hire’ were hampering government efforts to restore order. President Fujimori’s representatives did not respond to direct requests for comment.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21</Pages>
  <Words>7874</Words>
  <Characters>41356</Characters>
  <CharactersWithSpaces>49185</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2026-09-16T17:36:56Z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