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Thailand’s Kra Isthmus has once again become the site of major digging operations as the Thai king announces a ‘strategic acceleration’ of the Kra Canal project. The canal, which would bypass Singapore and the Strait of Malacca, the world’s busiest waterway, was repeatedly proposed and shelved throughout the late 20th and early 21st centuries.  Recent increases in ocean freight costs, with fuel price increases vastly outpacing the cost of digging equipment in the Southeast Asian nation, have renewed calls to complete the project. Representatives of the ASEAN states of Singapore and Malaysia, including incumbent Malaysian King Ibrahim Iskandar of Johor, have sharply criticized the project, citing loss of trade and environmental disruption throughout the Malay peninsula. President Nyo Saw of Myanmar, which also holds territory on the peninsula, has praised the project. Protests in the town of Chumphon, much of which is expected to be demolished as construction continues, were met by police and military containment.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Residents of Vancouver Island’s Cowichan Valley are repurposing wasabi farms as production wanes. The farms, which were built to export authentic wasabi to the formerly lucrative Japanese market, faced abrupt industry contraction in 2027, but still maintain stable temperatures and irrigation systems due to the crop’s sensitive habitat requirements for effective farming. Locals are reported to be increasingly using these facilities to grow food crops for themselves. Amanda Goulding, a 31 year old former emergency nurse, claimed: ‘almost everything my entire family can eat can come out of one of these sheds: corn, squash, beans, you name it. Can you believe we used all of this to export condiments?’ Production in the wasabi industry in British Columbia peaked in late 2026; one now-shuttered facility reported annual revenue of over CA$1 million per enclosure.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3608</Words>
  <Characters>19148</Characters>
  <CharactersWithSpaces>22739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