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726"/>
          <w:sz w:val="48"/>
        </w:rPr>
        <w:t>Private Equity GP Quarterly LP Reporting</w:t>
        <w:br/>
        <w:t>Process Blueprint and Control Framework</w:t>
      </w:r>
    </w:p>
    <w:p>
      <w:r>
        <w:rPr>
          <w:sz w:val="22"/>
        </w:rPr>
        <w:t>Purpose: Define a realistic GP workflow for producing a quarterly LP investor report using automated document ingestion, metric normalization, controlled LLM synthesis, review and approval routing, and auditable final distribution.</w:t>
      </w:r>
    </w:p>
    <w:p>
      <w:pPr>
        <w:pStyle w:val="Heading1"/>
      </w:pPr>
      <w:r>
        <w:t>1. Correct Process Framing</w:t>
      </w:r>
    </w:p>
    <w:p>
      <w:r>
        <w:t>Portfolio companies submit source materials such as financial packages, board decks, KPI workbooks, covenant schedules, ESG templates, and management commentary. The GP transforms those inputs, plus fund accounting and valuation materials, into an LP-facing report.</w:t>
      </w:r>
    </w:p>
    <w:p>
      <w:pPr>
        <w:pStyle w:val="Heading1"/>
      </w:pPr>
      <w:r>
        <w:t>2. End-to-End Process</w:t>
      </w:r>
    </w:p>
    <w:p>
      <w:r>
        <w:t>1. Source Intake - Portfolio companies, fund administrator, deal teams, and IR provide inputs.</w:t>
        <w:br/>
        <w:t>2. Ingestion and Classification - Parse PDFs, Excel files, emails, decks, and prior reports.</w:t>
        <w:br/>
        <w:t>3. Normalization Layer - Map terminology to a common metric dictionary and flag gaps.</w:t>
        <w:br/>
        <w:t>4. Deal Team Review - Validate company-level metrics and narrative.</w:t>
        <w:br/>
        <w:t>5. Fund Accounting / CFO - Reconcile NAV, fees, expenses, capital accounts, TVPI, DPI, RVPI, and IRR.</w:t>
        <w:br/>
        <w:t>6. Valuation Committee - Approve fair value marks and methodology.</w:t>
        <w:br/>
        <w:t>7. Investor Relations - Shape LP message and report structure.</w:t>
        <w:br/>
        <w:t>8. Legal and Compliance - Approve disclaimers, MNPI controls, marketing rules, and retention.</w:t>
        <w:br/>
        <w:t>9. Managing Partner - Final approval for LP-facing release.</w:t>
        <w:br/>
        <w:t>10. Controlled Distribution - Distribute only to approved LP recipients and archive evidence.</w:t>
      </w:r>
    </w:p>
    <w:p>
      <w:pPr>
        <w:pStyle w:val="Heading1"/>
      </w:pPr>
      <w:r>
        <w:t>3. Required Internal Stakeholders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0B1726"/>
          </w:tcPr>
          <w:p>
            <w:r/>
            <w:r>
              <w:rPr>
                <w:b/>
                <w:color w:val="FFFFFF"/>
                <w:sz w:val="18"/>
              </w:rPr>
              <w:t>Stakeholder</w:t>
            </w:r>
          </w:p>
        </w:tc>
        <w:tc>
          <w:tcPr>
            <w:tcW w:type="dxa" w:w="5112"/>
            <w:vAlign w:val="top"/>
            <w:shd w:fill="0B1726"/>
          </w:tcPr>
          <w:p>
            <w:r/>
            <w:r>
              <w:rPr>
                <w:b/>
                <w:color w:val="FFFFFF"/>
                <w:sz w:val="18"/>
              </w:rPr>
              <w:t>Role in Workflow</w:t>
            </w:r>
          </w:p>
        </w:tc>
      </w:tr>
      <w:tr>
        <w:tc>
          <w:tcPr>
            <w:tcW w:type="dxa" w:w="5112"/>
            <w:vAlign w:val="top"/>
          </w:tcPr>
          <w:p>
            <w:r/>
            <w:r>
              <w:rPr>
                <w:b/>
                <w:sz w:val="18"/>
              </w:rPr>
              <w:t>Investment Analyst / Associate</w:t>
            </w:r>
          </w:p>
        </w:tc>
        <w:tc>
          <w:tcPr>
            <w:tcW w:type="dxa" w:w="5112"/>
            <w:vAlign w:val="top"/>
          </w:tcPr>
          <w:p>
            <w:r/>
            <w:r>
              <w:rPr>
                <w:b w:val="0"/>
                <w:sz w:val="18"/>
              </w:rPr>
              <w:t>Owns extraction, exception triage, operating metric checks, and draft package preparation.</w:t>
            </w:r>
          </w:p>
        </w:tc>
      </w:tr>
      <w:tr>
        <w:tc>
          <w:tcPr>
            <w:tcW w:type="dxa" w:w="5112"/>
            <w:vAlign w:val="top"/>
          </w:tcPr>
          <w:p>
            <w:r/>
            <w:r>
              <w:rPr>
                <w:b/>
                <w:sz w:val="18"/>
              </w:rPr>
              <w:t>Deal Lead / Partner</w:t>
            </w:r>
          </w:p>
        </w:tc>
        <w:tc>
          <w:tcPr>
            <w:tcW w:type="dxa" w:w="5112"/>
            <w:vAlign w:val="top"/>
          </w:tcPr>
          <w:p>
            <w:r/>
            <w:r>
              <w:rPr>
                <w:b w:val="0"/>
                <w:sz w:val="18"/>
              </w:rPr>
              <w:t>Validates company-specific narrative, performance drivers, risks, and Q2 focus.</w:t>
            </w:r>
          </w:p>
        </w:tc>
      </w:tr>
      <w:tr>
        <w:tc>
          <w:tcPr>
            <w:tcW w:type="dxa" w:w="5112"/>
            <w:vAlign w:val="top"/>
          </w:tcPr>
          <w:p>
            <w:r/>
            <w:r>
              <w:rPr>
                <w:b/>
                <w:sz w:val="18"/>
              </w:rPr>
              <w:t>Portfolio Operations</w:t>
            </w:r>
          </w:p>
        </w:tc>
        <w:tc>
          <w:tcPr>
            <w:tcW w:type="dxa" w:w="5112"/>
            <w:vAlign w:val="top"/>
          </w:tcPr>
          <w:p>
            <w:r/>
            <w:r>
              <w:rPr>
                <w:b w:val="0"/>
                <w:sz w:val="18"/>
              </w:rPr>
              <w:t>Validates operating KPIs, value creation initiatives, ESG operating data, and management plans.</w:t>
            </w:r>
          </w:p>
        </w:tc>
      </w:tr>
      <w:tr>
        <w:tc>
          <w:tcPr>
            <w:tcW w:type="dxa" w:w="5112"/>
            <w:vAlign w:val="top"/>
          </w:tcPr>
          <w:p>
            <w:r/>
            <w:r>
              <w:rPr>
                <w:b/>
                <w:sz w:val="18"/>
              </w:rPr>
              <w:t>Fund Controller / Fund Accounting</w:t>
            </w:r>
          </w:p>
        </w:tc>
        <w:tc>
          <w:tcPr>
            <w:tcW w:type="dxa" w:w="5112"/>
            <w:vAlign w:val="top"/>
          </w:tcPr>
          <w:p>
            <w:r/>
            <w:r>
              <w:rPr>
                <w:b w:val="0"/>
                <w:sz w:val="18"/>
              </w:rPr>
              <w:t>Owns fund-level books, NAV, fees, expenses, capital accounts, contributions, distributions, and LP allocations.</w:t>
            </w:r>
          </w:p>
        </w:tc>
      </w:tr>
      <w:tr>
        <w:tc>
          <w:tcPr>
            <w:tcW w:type="dxa" w:w="5112"/>
            <w:vAlign w:val="top"/>
          </w:tcPr>
          <w:p>
            <w:r/>
            <w:r>
              <w:rPr>
                <w:b/>
                <w:sz w:val="18"/>
              </w:rPr>
              <w:t>CFO / COO</w:t>
            </w:r>
          </w:p>
        </w:tc>
        <w:tc>
          <w:tcPr>
            <w:tcW w:type="dxa" w:w="5112"/>
            <w:vAlign w:val="top"/>
          </w:tcPr>
          <w:p>
            <w:r/>
            <w:r>
              <w:rPr>
                <w:b w:val="0"/>
                <w:sz w:val="18"/>
              </w:rPr>
              <w:t>Approves financial consistency, control framework, and governance of external reporting.</w:t>
            </w:r>
          </w:p>
        </w:tc>
      </w:tr>
      <w:tr>
        <w:tc>
          <w:tcPr>
            <w:tcW w:type="dxa" w:w="5112"/>
            <w:vAlign w:val="top"/>
          </w:tcPr>
          <w:p>
            <w:r/>
            <w:r>
              <w:rPr>
                <w:b/>
                <w:sz w:val="18"/>
              </w:rPr>
              <w:t>Valuation Committee</w:t>
            </w:r>
          </w:p>
        </w:tc>
        <w:tc>
          <w:tcPr>
            <w:tcW w:type="dxa" w:w="5112"/>
            <w:vAlign w:val="top"/>
          </w:tcPr>
          <w:p>
            <w:r/>
            <w:r>
              <w:rPr>
                <w:b w:val="0"/>
                <w:sz w:val="18"/>
              </w:rPr>
              <w:t>Approves fair value marks, valuation methodology, supporting multiples, and mark changes.</w:t>
            </w:r>
          </w:p>
        </w:tc>
      </w:tr>
      <w:tr>
        <w:tc>
          <w:tcPr>
            <w:tcW w:type="dxa" w:w="5112"/>
            <w:vAlign w:val="top"/>
          </w:tcPr>
          <w:p>
            <w:r/>
            <w:r>
              <w:rPr>
                <w:b/>
                <w:sz w:val="18"/>
              </w:rPr>
              <w:t>Investor Relations</w:t>
            </w:r>
          </w:p>
        </w:tc>
        <w:tc>
          <w:tcPr>
            <w:tcW w:type="dxa" w:w="5112"/>
            <w:vAlign w:val="top"/>
          </w:tcPr>
          <w:p>
            <w:r/>
            <w:r>
              <w:rPr>
                <w:b w:val="0"/>
                <w:sz w:val="18"/>
              </w:rPr>
              <w:t>Owns LP messaging, report structure, consistency, distribution list, and follow-up process.</w:t>
            </w:r>
          </w:p>
        </w:tc>
      </w:tr>
      <w:tr>
        <w:tc>
          <w:tcPr>
            <w:tcW w:type="dxa" w:w="5112"/>
            <w:vAlign w:val="top"/>
          </w:tcPr>
          <w:p>
            <w:r/>
            <w:r>
              <w:rPr>
                <w:b/>
                <w:sz w:val="18"/>
              </w:rPr>
              <w:t>Legal / Compliance</w:t>
            </w:r>
          </w:p>
        </w:tc>
        <w:tc>
          <w:tcPr>
            <w:tcW w:type="dxa" w:w="5112"/>
            <w:vAlign w:val="top"/>
          </w:tcPr>
          <w:p>
            <w:r/>
            <w:r>
              <w:rPr>
                <w:b w:val="0"/>
                <w:sz w:val="18"/>
              </w:rPr>
              <w:t>Approves disclaimers, confidentiality, marketing rule constraints, MNPI controls, and record retention.</w:t>
            </w:r>
          </w:p>
        </w:tc>
      </w:tr>
      <w:tr>
        <w:tc>
          <w:tcPr>
            <w:tcW w:type="dxa" w:w="5112"/>
            <w:vAlign w:val="top"/>
          </w:tcPr>
          <w:p>
            <w:r/>
            <w:r>
              <w:rPr>
                <w:b/>
                <w:sz w:val="18"/>
              </w:rPr>
              <w:t>Managing Partner</w:t>
            </w:r>
          </w:p>
        </w:tc>
        <w:tc>
          <w:tcPr>
            <w:tcW w:type="dxa" w:w="5112"/>
            <w:vAlign w:val="top"/>
          </w:tcPr>
          <w:p>
            <w:r/>
            <w:r>
              <w:rPr>
                <w:b w:val="0"/>
                <w:sz w:val="18"/>
              </w:rPr>
              <w:t>Final approval for LP-facing report, sensitive issues, and external distribution.</w:t>
            </w:r>
          </w:p>
        </w:tc>
      </w:tr>
      <w:tr>
        <w:tc>
          <w:tcPr>
            <w:tcW w:type="dxa" w:w="5112"/>
            <w:vAlign w:val="top"/>
          </w:tcPr>
          <w:p>
            <w:r/>
            <w:r>
              <w:rPr>
                <w:b/>
                <w:sz w:val="18"/>
              </w:rPr>
              <w:t>Technology / Data Owner</w:t>
            </w:r>
          </w:p>
        </w:tc>
        <w:tc>
          <w:tcPr>
            <w:tcW w:type="dxa" w:w="5112"/>
            <w:vAlign w:val="top"/>
          </w:tcPr>
          <w:p>
            <w:r/>
            <w:r>
              <w:rPr>
                <w:b w:val="0"/>
                <w:sz w:val="18"/>
              </w:rPr>
              <w:t>Owns platform configuration, permission model, audit trail, and source lineage.</w:t>
            </w:r>
          </w:p>
        </w:tc>
      </w:tr>
    </w:tbl>
    <w:p>
      <w:pPr>
        <w:pStyle w:val="Heading1"/>
      </w:pPr>
      <w:r>
        <w:t>4. Controls the Workflow Should Demonstrate</w:t>
      </w:r>
    </w:p>
    <w:p>
      <w:pPr>
        <w:pStyle w:val="ListBullet"/>
      </w:pPr>
      <w:r>
        <w:t>Entity-period matching and duplicate detection</w:t>
      </w:r>
    </w:p>
    <w:p>
      <w:pPr>
        <w:pStyle w:val="ListBullet"/>
      </w:pPr>
      <w:r>
        <w:t>Metric dictionary with synonyms and definitions</w:t>
      </w:r>
    </w:p>
    <w:p>
      <w:pPr>
        <w:pStyle w:val="ListBullet"/>
      </w:pPr>
      <w:r>
        <w:t>Source confidence scoring and exception queue</w:t>
      </w:r>
    </w:p>
    <w:p>
      <w:pPr>
        <w:pStyle w:val="ListBullet"/>
      </w:pPr>
      <w:r>
        <w:t>Formula-backed calculations for QoQ, margins, TVPI, DPI, RVPI, IRR, and NAV roll-forward</w:t>
      </w:r>
    </w:p>
    <w:p>
      <w:pPr>
        <w:pStyle w:val="ListBullet"/>
      </w:pPr>
      <w:r>
        <w:t>Human approval before external distribution</w:t>
      </w:r>
    </w:p>
    <w:p>
      <w:pPr>
        <w:pStyle w:val="ListBullet"/>
      </w:pPr>
      <w:r>
        <w:t>CFO and fund accounting reconciliation gate</w:t>
      </w:r>
    </w:p>
    <w:p>
      <w:pPr>
        <w:pStyle w:val="ListBullet"/>
      </w:pPr>
      <w:r>
        <w:t>Valuation committee approval gate</w:t>
      </w:r>
    </w:p>
    <w:p>
      <w:pPr>
        <w:pStyle w:val="ListBullet"/>
      </w:pPr>
      <w:r>
        <w:t>Legal and compliance approval gate</w:t>
      </w:r>
    </w:p>
    <w:p>
      <w:pPr>
        <w:pStyle w:val="ListBullet"/>
      </w:pPr>
      <w:r>
        <w:t>Version control and reviewer comments</w:t>
      </w:r>
    </w:p>
    <w:p>
      <w:pPr>
        <w:pStyle w:val="ListBullet"/>
      </w:pPr>
      <w:r>
        <w:t>Final report watermarking, LP permissions, and audit archive</w:t>
      </w:r>
    </w:p>
    <w:p>
      <w:pPr>
        <w:pStyle w:val="Heading1"/>
      </w:pPr>
      <w:r>
        <w:t>5. Input Package Checklist</w:t>
      </w:r>
    </w:p>
    <w:p>
      <w:pPr>
        <w:pStyle w:val="ListBullet"/>
      </w:pPr>
      <w:r>
        <w:t>Portfolio company PDF management packages</w:t>
      </w:r>
    </w:p>
    <w:p>
      <w:pPr>
        <w:pStyle w:val="ListBullet"/>
      </w:pPr>
      <w:r>
        <w:t>Excel KPI and covenant templates</w:t>
      </w:r>
    </w:p>
    <w:p>
      <w:pPr>
        <w:pStyle w:val="ListBullet"/>
      </w:pPr>
      <w:r>
        <w:t>Fund administrator NAV and capital account workbook</w:t>
      </w:r>
    </w:p>
    <w:p>
      <w:pPr>
        <w:pStyle w:val="ListBullet"/>
      </w:pPr>
      <w:r>
        <w:t>Valuation memo and committee support</w:t>
      </w:r>
    </w:p>
    <w:p>
      <w:pPr>
        <w:pStyle w:val="ListBullet"/>
      </w:pPr>
      <w:r>
        <w:t>Prior quarter LP report</w:t>
      </w:r>
    </w:p>
    <w:p>
      <w:pPr>
        <w:pStyle w:val="ListBullet"/>
      </w:pPr>
      <w:r>
        <w:t>Investor relations style guide and approved language</w:t>
      </w:r>
    </w:p>
    <w:p>
      <w:pPr>
        <w:pStyle w:val="ListBullet"/>
      </w:pPr>
      <w:r>
        <w:t>Legal and compliance disclosure checklist</w:t>
      </w:r>
    </w:p>
    <w:p>
      <w:pPr>
        <w:pStyle w:val="ListBullet"/>
      </w:pPr>
      <w:r>
        <w:t>Email submission trail and reviewer comments</w:t>
      </w:r>
    </w:p>
    <w:p>
      <w:pPr>
        <w:pStyle w:val="ListBullet"/>
      </w:pPr>
      <w:r>
        <w:t>LP distribution list and permission matrix</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