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7/374/2018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2021-07-04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כב'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שוידלסון ‪ ,1‬הרצליה‬                    ‫התובעת‬</w:t>
        <w:br/>
        <w:t>‫ע"י חברת הנציגות סבטלנה בר טל‬</w:t>
        <w:br/>
        <w:t>‫באמצעות ב"כ‪ :‬עו"ד אירית דרדיק‬</w:t>
        <w:br/>
        <w:t>‫ת‪.‬ד ‪ ,548‬כפר סבא‪44104 ,‬‬</w:t>
        <w:br/>
        <w:t>‫נגד‬</w:t>
        <w:br/>
        <w:t>‫‪.1‬אבו דוד‬               ‫הנתבעים‬</w:t>
        <w:br/>
        <w:t>‫‪.2‬אבו שלמה‬</w:t>
        <w:br/>
        <w:t>‫‪ .3‬חנופה ניסים‬</w:t>
        <w:br/>
        <w:t>‫‪.4‬חנופה גילה‬</w:t>
        <w:br/>
        <w:t>‫‪.5‬אבו את חנופה בע"מ‬</w:t>
        <w:br/>
        <w:t>‫באמצעות ב"כ‪ :‬עו"ד ניסן שריפי‬</w:t>
        <w:br/>
        <w:t>‫רח' שמואל הנציב ‪ ,24‬נתניה‬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בקשה למתן צו מניעה האוסר על הנתבעים ו‪/‬או מי מטעמם לבצע‬</w:t>
        <w:br/>
        <w:t>‫פעולות טעינה ופריקה ושימוש במלגזות ו‪/‬או בכל כלי ממונע אחר ברכוש המשותף‪.‬‬</w:t>
        <w:br/>
        <w:t>‫‪ .2‬עסקינן בבית משותף שברחוב שוידלסון ‪ ,1‬בהרצליה‪ ,‬הבנוי על חלקה הידועה כגוש ‪6538‬‬</w:t>
        <w:br/>
        <w:t>‫חלקות ‪ 552 ,551 ,547‬ו ‪( 560 -‬להלן‪" :‬הבית")‪ .‬הבית נרשם בפנקס הבתים המשותפים‪,‬‬</w:t>
        <w:br/>
        <w:t>‫ועם רישומו נרשם לו תקנון מוסכם‪ .‬בהתאם לתקנון המוסכם הבית מורכב מ ‪ 3 -‬אגפים‪.‬‬</w:t>
        <w:br/>
        <w:t>‫‪ .3‬התובעת היא נציגות אגף ‪ 3‬של הבית‪.‬‬</w:t>
        <w:br/>
        <w:t>‫‪ .4‬הנתבעים הם בעלי זכויות בדירות באגף ‪ 3‬של הבית כמפורט להלן‪:‬‬</w:t>
        <w:br/>
        <w:t>‫א‪ .‬הנתבע ‪( 1‬להלן‪" :‬דוד") הוא בעל זכויות ביחידה בקומת הקרקע הידועה כחלקת‬</w:t>
        <w:br/>
        <w:t>‫משנה ‪ 68‬והמוגדרת במסמכי רישום הבית המשותף כ ‪" -‬חנות"‪ .‬לדירה זו צמודה‬</w:t>
        <w:br/>
        <w:t>‫חניה המסומנת בתשריט רישום הבית המשותף באות קא'‪.‬‬</w:t>
        <w:br/>
        <w:t>‫ב‪ .‬הנתבע ‪( 2‬להלן‪" :‬שלמה") הוא בעלים של יחידה בקומת הקרקע הידועה כחלקת‬</w:t>
        <w:br/>
        <w:t>‫משנה ‪ 69‬והמוגדרת במסמכי רישום הבית המשותף כ ‪" -‬חנות"‪.‬‬</w:t>
        <w:br/>
        <w:t>‫ג‪ .‬הנתבעים ‪( 3-5‬להלן‪" :‬חנופה") הם הבעלים של יחידה בקומת הקרקע הידועה‬</w:t>
        <w:br/>
        <w:t>‫כחלקת משנה ‪ ,70‬והמוגדרת במסמכי רישום הבית המשותף כ ‪" -‬חנות"‪ .‬לדירה זו‬</w:t>
        <w:br/>
        <w:t>‫צמודה חניה המסומנת בתשריט רישום הבית המשותף באות קב'‪.‬‬</w:t>
        <w:br/>
        <w:t>‫ד‪ .‬חנופה הם בעלים של יחידה נוספת בקומת הקרקע הידועה כחלקת משנה ‪,71‬‬</w:t>
        <w:br/>
        <w:t>‫והמוגדרת במסמכי רישום הבית המשותף "חנות ‪+‬גלריה"‪ .‬לדירה זו צמודה חניה‬</w:t>
        <w:br/>
        <w:t>‫המסומנת בתשריט רישום הבית המשותף באות קג'‪.‬‬</w:t>
        <w:br/>
        <w:t>‫טענות התובעת יפורטו להלן בתמצית‪:‬‬</w:t>
        <w:br/>
        <w:t>‫‪ .5‬חנויות הנתבעים הידועות כחלקות משנה ‪ 69 ,68‬ו ‪ 70 -‬אוחדו והן משמשות בפועל‬</w:t>
        <w:br/>
        <w:t>‫להפעלת מרכול;‬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.6‬עד למועד בו הוגשה התביעה (‪ )26.11.2018‬ביצעו הנתבעים ו‪ /‬או מטעמם פעולות פריקה‬</w:t>
        <w:br/>
        <w:t>‫וטעינה של סחורה בחזית המרכול או בחניות הצמודות להם‪ .‬מאחר שעיריית הרצלייה‬</w:t>
        <w:br/>
        <w:t>‫אסרה עליהם לבצע טעינה ופריקה במקומות אלו‪ ,‬החלו הנתבעים בביצוע הפעולות‬</w:t>
        <w:br/>
        <w:t>‫האמורות בחניון הבית המשותף באופן שחוסם את הכניסה והיציאה מהחניון למשך זמן‬</w:t>
        <w:br/>
        <w:t>‫רב ומספר פעמים ביום‪ ,‬ובאופן שחוסם חלק מהחניות ומפריע מאד לגישה ולתמרון‬</w:t>
        <w:br/>
        <w:t>‫בתחומי החניון;‬</w:t>
        <w:br/>
        <w:t>‫‪ .7‬לחניון הבית כניסה אחת בלבד‪ ,‬וכל חניה‪/‬עצירה של כל כלי תחבורה ברכוש המשותף‬</w:t>
        <w:br/>
        <w:t>‫לצורכי טעינה ופריקה‪ ,‬אף לזמן קצר‪ ,‬מונעת גישה חופשית ופנויה לחניות הבית;‬</w:t>
        <w:br/>
        <w:t>‫‪ .8‬פעולות הפריקה והטעינה מבוצעות באמצעות מלגזות‪ ,‬עגלות ומכונות ממנועות של‬</w:t>
        <w:br/>
        <w:t>‫הנתבעים וספקיהם‪ ,‬תוך הפרעה וסיכון בטיחותי חמור לבעלי הדירות בבית‬</w:t>
        <w:br/>
        <w:t>‫ומכוניותיהם;‬</w:t>
        <w:br/>
        <w:t>‫‪ .9‬תשתיות החניון אינן ערוכות לקליטת כלי רכב במשקלים כבדים וניתן לראות סדקים‬</w:t>
        <w:br/>
        <w:t>‫באסבסט ובבטון שבתחומי החניון בשל השימוש האמור;‬</w:t>
        <w:br/>
        <w:t>‫‪ .10‬תקנון הבית לא מקנה לנתבעים כל שימוש ייחודי ו‪/‬או שימוש ביתר בשטח הרכוש‬</w:t>
        <w:br/>
        <w:t>‫המשותף;‬</w:t>
        <w:br/>
        <w:t>‫‪ .11‬פעולות פריקה וטעינת סחורה על גבי השטח המשותף בבית אסורות‪ ,‬שכן מדובר בשימוש‬</w:t>
        <w:br/>
        <w:t>‫בלתי סביר ברכוש המשותף‪ ,‬המונע מאחרים שימוש בשטח זה ואינו תואם את ייעודו;‬</w:t>
        <w:br/>
        <w:t>‫‪ .12‬פניות התובעת לנתבעים לחדול ממעשיהם העלו חרס‪ ,‬ולא היה מנוס מהגשת התביעה‪.‬‬</w:t>
        <w:br/>
        <w:t>‫טענות הנתבעים יפורטו להלן בתמצית‪:‬‬</w:t>
        <w:br/>
        <w:t>‫‪ .13‬התובעת איננה מהווה נציגות כדין של הבית ומונעת משיקולים זרים;‬</w:t>
        <w:br/>
        <w:t>‫‪ .14‬חנויות הנתבעים משמשות כמרכול וכחנות לממכר פירות יבשים;‬</w:t>
        <w:br/>
        <w:t>‫‪ .15‬מאז שנת ‪ 1988‬קיים נוהג בבית לפיו מבוצעות פעולות טעינה ופריקה של סחורות‬</w:t>
        <w:br/>
        <w:t>‫מהחנויות שבבעלות הנתבעים הן בחזית החנויות והן בעורפן‪ ,‬ללא כל התנגדות מצד מי‬</w:t>
        <w:br/>
        <w:t>‫מבעלי הדירות בבית‪ .‬הצורך בביצוע פעולות פריקה וטעינה בעורפן של החנויות נדרש‬</w:t>
        <w:br/>
        <w:t>‫מאחר שחלק מהמקררים ומהמחסנים של החנויות ממוקמים בסמוך;‬</w:t>
        <w:br/>
        <w:t>‫‪ .16‬בהתאם לדרישות המחלקה לרישוי עסקים בעיריית הרצלייה‪ ,‬ובהתאם לתקנון תכנית‬</w:t>
        <w:br/>
        <w:t>‫מתאר הרצלייה ‪253‬א‪ ,‬פעולות פריקה וטעינה של סחורה מרכבים גדולים מתבצעות‬</w:t>
        <w:br/>
        <w:t>‫בחזית החנויות (ברחוב ארלוזרוב) ואילו פעולות פריקה וטעינה של סחורה מרכבים‬</w:t>
        <w:br/>
        <w:t>‫קטנים מתבצעות בעורף החנויות ומחוץ לחניון‪ ,‬כך שהסחורה מובלת אל המחסנים‬</w:t>
        <w:br/>
        <w:t>‫והמקררים שבבעלות הנתבעים‪ ,‬אשר מצויים בשטח החניון‪ ,‬באמצעות עגלות מיוחדות‬</w:t>
        <w:br/>
        <w:t>‫לכך‪ .‬משך הפריקה והטעינה אינו עולה על דקות ספורות‪ ,‬וללא כל הפרעה לכניסה‬</w:t>
        <w:br/>
        <w:t>‫והיציאה מהחניון;‬</w:t>
        <w:br/>
        <w:t>‫‪ .17‬קיימים בתי עסק נוספים בהם מתבצעות פעולות פריקה וטעינה באותו אופן;‬</w:t>
        <w:br/>
        <w:t>‫‪ .18‬פעולות הפריקה והטעינה מתבצעות על פי רוב בחניות הצמודות לחנויות הנתבעים;‬</w:t>
        <w:br/>
        <w:t>‫‪ .19‬פעולות הטעינה והפריקה המבוצעות על ידי הנתבעים אינן פעולות החורגות משימוש‬</w:t>
        <w:br/>
        <w:t>‫סביר ברכוש המשותף‪.‬‬</w:t>
        <w:br/>
        <w:t>‫ההליכים שהתקיימו בתיק‬</w:t>
        <w:br/>
        <w:t>‫‪ .20‬הצדדים הגישו ראיותיהם‪ ,‬עדיהם נשמעו‪ ,‬וסיכומיהם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.21‬כן נערך על ידי ביקור במקום בנוכחות הצדדים ובאי כוחם על מנת להתרשם באופן בלתי‬</w:t>
        <w:br/>
        <w:t>‫אמצעי מטענות הצדדים‪ .‬מביקורי זה וממסמכי רישום הבית המשותף עולה כדלקמן‪:‬‬</w:t>
        <w:br/>
        <w:t>‫‪ .22‬הבית מורכב ממבנה אחד בעל ‪ 3‬אגפים‪ ,‬ומכיל ‪ 111‬דירות‪.‬‬</w:t>
        <w:br/>
        <w:t>‫‪ -‬באגף ‪ 2 :1‬כניסות ו ‪ 25 -‬דירות המתוארות כחנויות‪ ,‬משרדים ומחסנים‪.‬‬</w:t>
        <w:br/>
        <w:t>‫‪ -‬באגף ‪ :2‬כניסה אחת ו ‪ 42 -‬דירות המתוארות כחנויות‪ ,‬דירות מגורים‬</w:t>
        <w:br/>
        <w:t>‫‪ -‬באגף ‪ :3‬כניסה אחת ו ‪ 44 -‬דירות המתוארות חנויות ודירות מגורים‪.‬‬</w:t>
        <w:br/>
        <w:t>‫‪ .23‬החנויות אשר נכללות באגף ‪ 3‬של הבית‪ ,‬ובכלל זה חנויות הנתבעים‪ ,‬ממוקמות בקומת‬</w:t>
        <w:br/>
        <w:t>‫הקרקע של הבית‪ .‬חזית חנויות הנתבעים פונה לרחוב ארלוזרוב‪.‬‬</w:t>
        <w:br/>
        <w:t>‫‪ .24‬לבית חניון ולו כניסה ויציאה אחת מרחוב שוידלסון‪ .‬בפתחו של החניון מותקן מחסום‪.‬‬</w:t>
        <w:br/>
        <w:t>‫‪ .25‬בחניון‪ ,‬חניות הצמודות לדירות הבית‪ ,‬ובכלל זה חניות הצמודות לחנויות הנתבעים‬</w:t>
        <w:br/>
        <w:t>‫והמסומנות באותיות קא'‪ ,‬קב' ו ‪ -‬קג'‪.‬‬</w:t>
        <w:br/>
        <w:t>‫‪ .26‬בחניון קיים כביש גישה המוביל לחניות הצמודות לדירות הבית‪ .‬כביש גישה זה מסומן‬</w:t>
        <w:br/>
        <w:t>‫בתשריט רישום הבית המשותף כרכוש המשותף של הבית‪ .‬רוחבו כ ‪ 6 -‬מטר (להלן‪:‬‬</w:t>
        <w:br/>
        <w:t>‫"כביש הגישה")‪.‬‬</w:t>
        <w:br/>
        <w:t>‫‪ .27‬המקררים והמחסנים המשרתים את חנויות הנתבעים מצויים בעורפן של החנויות‬</w:t>
        <w:br/>
        <w:t>‫ובסמיכות לחניון‪.‬‬</w:t>
        <w:br/>
        <w:t>‫‪ .28‬לצורכי המחשה‪ ,‬יובא להלן המקטע הרלבנטי מתשריט רישום הבית‪:‬‬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.29‬עתה נותר‪ ,‬אפוא‪ ,‬להכריע בתביעה‪.‬‬</w:t>
        <w:br/>
        <w:t>‫דיון והכרעה‬</w:t>
        <w:br/>
        <w:t>‫‪ .30‬אקדים ואומר כי מצאתי לקבל את התביעה‪ ,‬נימוקיי יפורטו להלן‪:‬‬</w:t>
        <w:br/>
        <w:t>‫כשירות הנציגות‬</w:t>
        <w:br/>
        <w:t>‫‪ .31‬לטענת הנתבעים גב' בר טל איננה נציגות שהוסמכה כדין לניהול הבית‪ ,‬אך הם לא נקבו‬</w:t>
        <w:br/>
        <w:t>‫בשמותיהם של נציגי הבית החוקיים לשיטתם‪ .‬חוק המקרקעין התשכ"ט ‪( 1969 -‬להלן‪:‬‬</w:t>
        <w:br/>
        <w:t>‫"חוק המקרקעין") אינו מכיר מצב של העדר נציגות‪ .‬לכן‪ ,‬מי שטוען שהנציגות התובעת‬</w:t>
        <w:br/>
        <w:t>‫אינה הנציגות החוקית‪ ,‬עליו הנטל להוכיח קיומה של נציגות חוקית בה הוא מכיר וכלפיה‬</w:t>
        <w:br/>
        <w:t>‫הוא ממלא את חובותיו כבעל דירה‪ ,‬לדוגמא‪ ,‬תשלום חלקו בהוצאות להחזקת הרכוש‬</w:t>
        <w:br/>
        <w:t>‫המשותף‪ .‬בענייננו הנתבעים לא הרימו נטל זה (ראו בעש"א (מחוזי‪-‬חיפה) ‪9047-03-‬‬</w:t>
        <w:br/>
        <w:t>‫‪ 19‬ארביב נ' נציגות הבית המשותף ברח' פיינברג ‪ ,1‬חדרה (נבו‪.)28.04.2019 ,‬‬</w:t>
        <w:br/>
        <w:t>‫‪ .32‬בסיכומיהם הוסיפו וטענו הנתבעים כי נציגות הבית לא הוסמכה על ידי בעלי הדירות‬</w:t>
        <w:br/>
        <w:t>‫בבית להגיש את התביעה‪ ,‬ומשכך דינה להידחות על הסף‪ .‬עסקינן בהרחבת חזית‪ ,‬בשים‬</w:t>
        <w:br/>
        <w:t>‫לב לכך שטענה זו‪ ,‬לא נטענה בכתב ההגנה שהוגש מטעם הנתבעים‪ ,‬ומשכך‪ ,‬מצאתי לקבל‬</w:t>
        <w:br/>
        <w:t>‫את בקשת התובעת בעניין זה ולהורות על דחייתה‪ .‬למעלה מן הדרוש מצאתי להוסיף‪ ,‬כי‬</w:t>
        <w:br/>
        <w:t>‫דין הטענה להידחות אף לגופה בשים לב לכך שנציגות הבית המשותף משמשת כמורשה‬</w:t>
        <w:br/>
        <w:t>‫של כל בעלי הדירות בבית בכל הנוגע להחזקה התקינה ולניהולו של הרכוש המשותף‪,‬‬</w:t>
        <w:br/>
        <w:t>‫ובכלל זה השימושים הנעשים בו (ראו סעיף ‪ 69‬לחוק המקרקעין)‪ .‬בתוך כך‪ ,‬פעולת‬</w:t>
        <w:br/>
        <w:t>‫הנציגות בגדרי הרשאתה בחוק מחייבת את כל בעלי הדירות בבית המשותף‪ ,‬והיא אינה‬</w:t>
        <w:br/>
        <w:t>‫נדרשת לקבל הרשאה פרטנית על ידי מי מבעלי הדירות בבית (ראו ע"א ‪ ,98/80‬נציגות‬</w:t>
        <w:br/>
        <w:t>‫הבית המשותף ברחוב רבי עקיבא ‪ 77‬לוד נ' קדמת לוד בע"מ‪ ,‬פ"ד לו (‪ ;)1981( 21 )2‬רע"א‬</w:t>
        <w:br/>
        <w:t>‫‪ ,1025/17‬נאות מזרחי בע" נ' נציגות הבית המשותף מנדל זינגר ‪ 23‬חיפה (פורסם בנבו‪,‬‬</w:t>
        <w:br/>
        <w:t>‫‪ ,)27.6.2017‬י' ויסמן‪ ,‬דיני קניין ‪ -‬בעלות ושיתוף‪ ,‬תשנ"ז ‪ .)466-469 ,1997 -‬מכוחן של‬</w:t>
        <w:br/>
        <w:t>‫הוראות דין אלו‪ ,‬מסורה לנציגות הבית המשותף הסמכות להגיש תביעה כנגד מי מבעלי‬</w:t>
        <w:br/>
        <w:t>‫הדירות בבית בכל הנוגע לשימושים הנעשים ברכוש המשותף‪ ,‬כפי תביעה זו שבפני‪.‬‬</w:t>
        <w:br/>
        <w:t>‫‪ .33‬עתה אדרש לטענות הצדדים לגופן‪:‬‬</w:t>
        <w:br/>
        <w:t>‫טענת הנתבעים לקיומו של נוהג‬</w:t>
        <w:br/>
        <w:t>‫‪ .34‬הנתבעים לא הרימו את הנטל המוטל עליהם להוכיח כי השימוש בשטח המשותף מושא‬</w:t>
        <w:br/>
        <w:t>‫התביעה שימש לפריקה וטעינה מאז שנת ‪ ,1988‬כנטען על ידם‪ .‬הנתבעים הציגו תשריט‬</w:t>
        <w:br/>
        <w:t>‫משנת ‪ ,2008‬שהוגש על פי הנטען לעירית הרצלייה לצורך רישוי עסקים‪ ,‬ובו ניתן לראות‬</w:t>
        <w:br/>
        <w:t>‫סימון של שטח בעורף החנויות כ"אזור פריקה וטעינה" (סומן נ'‪ .)1‬בתשריט רישום הבית‬</w:t>
        <w:br/>
        <w:t>‫המשותף לא מופיע הסימון האמור‪ ,‬ואין בעובדה כי במסגרת הליך רישוי עסקים אותו‬</w:t>
        <w:br/>
        <w:t>‫יזמו הנתבעים והדגימו אזור פריקה וטעינה כראות עיניהם כדי להכשיר ביצוע פעולות‬</w:t>
        <w:br/>
        <w:t>‫אלה במישור הקנייני (ראו לעניין זה בג"צ ‪ ,1578/90‬אייזן נ' הוועדה המקומית לתכנון‬</w:t>
        <w:br/>
        <w:t>‫ובניה (פורסם בנבו‪.)24.10.1990 ,‬‬</w:t>
        <w:br/>
        <w:t>‫‪ .35‬הנתבעים גם לא הביאו לעדות אף לא אחד מבעלי הדירות בבית על מנת להוכיח את‬</w:t>
        <w:br/>
        <w:t>‫קיומו של הנוהג הנטען‪ ,‬והדבר פועל לחובתם (ראו לעניין הימנעות מהבאת עדים את‬</w:t>
        <w:br/>
        <w:t>‫האמור בע"א ‪ ,465/88‬הבנק למימון וסחר בע"מ נ' מתתיהו (נבו‪.))12.09.1991 ,‬‬</w:t>
        <w:br/>
        <w:t>‫‪ .36‬בסיכומיהם טענו הנתבעים כי הם לא נחקרו בחקירתם הנגדית אודות עדותם בתצהירי‬</w:t>
        <w:br/>
        <w:t>‫העדות הראשית בדבר קיומו של הנוהג (ראו סעיף ‪ 3‬לתצהירו של הנתבע ‪ ,1‬וסעיף ‪2‬‬</w:t>
        <w:br/>
        <w:t>‫לתצהירו של הנתבע ‪ ,)3‬ומשכך יש לטענתם לקבל עדותם זו כאמת לאמיתה‪ .‬ואולם‪ ,‬עיון‬</w:t>
        <w:br/>
        <w:t>‫בפרוטוקול מלמד כי הם נשאלו בעניין זה בחקירתם הנגדית ע"י ב"כ התובעת והתבקשו‬</w:t>
        <w:br/>
        <w:t>‫להציג ראיות על מנת לתמוך בגרסתם‪ ,‬ואולם פרט להפניה לנ'‪ 1‬לא הוצגו על ידם ראיות‬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‫נוספות (ראו פרוטוקול מיום ‪ ,25.10.2020‬עמ' ‪ ,4‬שורות ‪ ,48-49‬עמ' ‪ ,5‬שורות ‪ 1-2‬ושורות‬</w:t>
        <w:br/>
        <w:t>‫‪ .)38-40‬לא מצאתי מנימוקיי המפורטים בסעיף ‪ 34‬לעיל‪ ,‬כי יש במוצג נ'‪ 1‬כדי להוכיח‬</w:t>
        <w:br/>
        <w:t>‫את הנוהג הנטען‪ ,‬ולא הובאה כאמור כל ראיה אחרת על מנת לתמוך בטענת הנתבעים‬</w:t>
        <w:br/>
        <w:t>‫לקיומו של הנוהג‪.‬‬</w:t>
        <w:br/>
        <w:t>‫‪ .37‬לא זו ואף זו‪ ,‬גם אם הנתבעים היו מצליחים להוכיח "שימוש רב שנים"‪ ,‬הרי שניתן‬</w:t>
        <w:br/>
        <w:t>‫להפסיקו בכל עת‪ ,‬בוודאי שעה שמדובר ברשות שימוש ללא תמורה (ראו נ‪ .‬זלצמן‪ ,‬רישיון‬</w:t>
        <w:br/>
        <w:t>‫במקרקעין‪ ,‬הפרקליט מב' חוברת א'‪ ,‬עמ' ‪ 128‬וכן מ‪ .‬דויטש‪ ,‬קניין‪ ,‬כרך ב' (התשנ"ט ‪-‬‬</w:t>
        <w:br/>
        <w:t>‫‪ .)414 ,)1999‬במקרה דנן‪ ,‬לא נטען וממילא לא הוכח כי ניתנה תמורה לשימוש האמור‪.‬‬</w:t>
        <w:br/>
        <w:t>‫‪ .38‬נוכח כל האמור לעיל‪ ,‬מצאתי לדחות את טענת הנתבעים לקיומו של נוהג‪.‬‬</w:t>
        <w:br/>
        <w:t>‫ביצוע פעולות פריקה וטעינה ‪ -‬האם בבחינת שימוש סביר ברכוש המשותף?‬</w:t>
        <w:br/>
        <w:t>‫‪ .39‬הרכוש המשותף שייך לכל בעלי הדירות ונועד לשמש את כולם או את מרביתם (ראו‬</w:t>
        <w:br/>
        <w:t>‫ההגדרה בסעיף ‪ 52‬לחוק המקרקעין)‪.‬‬</w:t>
        <w:br/>
        <w:t>‫‪ .40‬ככלל‪ ,‬האסיפה הכללית של בעלי הדירות בבית היא הגוף המוסמך לקבוע את דרכי‬</w:t>
        <w:br/>
        <w:t>‫ניהולו של הרכוש המשותף‪ ,‬ואת השימוש בו‪ ,‬ראו סעיף ‪(5‬א) לתקנון המצוי בתוספת‬</w:t>
        <w:br/>
        <w:t>‫הראשונה של חוק המקרקעין‪.‬‬</w:t>
        <w:br/>
        <w:t>‫‪ .41‬עם זאת‪ ,‬ההלכה קובעת כי בעל דירה רשאי לעשות שימוש רגיל וסביר ברכוש המשותף‬</w:t>
        <w:br/>
        <w:t>‫אף בלא אישורה של האסיפה הכללית בהתקיים התנאים המצטברים הבאים‪ :‬האחד‪,‬‬</w:t>
        <w:br/>
        <w:t>‫השימוש תואם את תנאי המקום והזמן ואת הייעוד של אותו חלק ברכוש המשותף‪ .‬תנאי‬</w:t>
        <w:br/>
        <w:t>‫המקום משמעם המקום בו נמצא הבית המשותף‪ ,‬ובכלל זה מאפייניו של הבית המשותף‪,‬‬</w:t>
        <w:br/>
        <w:t>‫ייחודו‪ ,‬צביונו וייעודו (כגון‪ :‬מגורים‪ ,‬מסחר‪ ,‬משרדים או שילוב של אלה)‪ .‬תנאי הזמן‬</w:t>
        <w:br/>
        <w:t>‫משמעם דרישות ואילוצים אשר מציאות החיים מכתיבה‪ .‬השני‪ ,‬השימוש אינו מונע‬</w:t>
        <w:br/>
        <w:t>‫שימוש דומה בעלי דירות אחרים בבית המשותף‪ ,‬ואינו עולה כדי תפיסת חזקה ייחודית‬</w:t>
        <w:br/>
        <w:t>‫ברכוש המשותף (ראו ע"א ‪ ,549/73‬וינטרס נ' זמורה‪ ,‬פ"ד כח (‪ ,645 )1‬בעמ' ‪ ,648‬ע"א‬</w:t>
        <w:br/>
        <w:t>‫‪ ,698/85‬בן צור נ' ששון‪ ,‬פ"ד מא (‪ ,150-151 ,144 ,)3‬רע"א ‪ ,9645/16‬איסק נ' נחמיאס‪,‬‬</w:t>
        <w:br/>
        <w:t>‫(נבו‪.)10.1.2017 ,‬‬</w:t>
        <w:br/>
        <w:t>‫מן הכלל אל הפרט‬</w:t>
        <w:br/>
        <w:t>‫‪ .42‬אין מחלוקת כי שביל הגישה לחניות הצמודות לדירות הבית בחניון הבית (מסומן בלבן‬</w:t>
        <w:br/>
        <w:t>‫בתשריט דלעיל) נכלל ברכוש המשותף של הבית‪.‬‬</w:t>
        <w:br/>
        <w:t>‫‪ .43‬הנתבע ‪ 1‬והנתבע ‪ 3‬העידו כי פעולות פריקה וטעינה של סחורה מרכבים גדולים כגון‬</w:t>
        <w:br/>
        <w:t>‫משאיות מתבצעות בחזית החנויות (ברחוב ארלוזרוב)‪ ,‬ואילו פעולות פריקה וטעינה של‬</w:t>
        <w:br/>
        <w:t>‫סחורה מרכבים קטנים מתבצעות בעורף החנויות ומחוץ לחניון‪ ,‬והסחורה מובלת אל‬</w:t>
        <w:br/>
        <w:t>‫המחסנים והמקררים שבבעלות הנתבעים אשר בשטח החניון‪ ,‬באמצעות עגלות מיוחדות‬</w:t>
        <w:br/>
        <w:t>‫לכך (ראו סעיף ‪ 5‬לתצהירו של הנתבע ‪ 1‬וסעיף ‪ 4‬לתצהירו של הנתבע ‪.)3‬‬</w:t>
        <w:br/>
        <w:t>‫‪ .44‬ואולם‪ ,‬מחקירתו הנגדית של הנתבע ‪ 3‬עלה כי בכביש הגישה מתבצעות פעולות פריקה‬</w:t>
        <w:br/>
        <w:t>‫וטעינה של סחורה "ממשאיות וטנדר" (ראו פרוטוקול מיום ‪ ,25.10.2020‬עמ' ‪ ,5‬שורות‬</w:t>
        <w:br/>
        <w:t>‫‪ 47-49‬וכן עמ' ‪ ,6‬שורות ‪ .)25-26‬כך גם עלה מהתמונות אשר צורפו לכתב התביעה‪ ,‬אליהן‬</w:t>
        <w:br/>
        <w:t>‫הפנתה חברת הנציגות הגב' בר טל בתצהירה (ראו סעיף ‪ 16‬לתצהירה וכן נספח ג' לכתב‬</w:t>
        <w:br/>
        <w:t>‫התביעה) בהן נצפו בכביש הגישה משאית‪ ,‬טנדר ומלגזה עמוסה בסחורה וכן תמונה ת'‪2‬‬</w:t>
        <w:br/>
        <w:t>‫בה נצפתה משאית בכניסה למחסום‪ .‬ראיות אלו לא נסתרו‪.‬‬</w:t>
        <w:br/>
        <w:t>‫‪ .45‬פעילות פריקה וטעינה של סחורה בשטחי בית משותף‪ ,‬המשמש כולו או חלקו למסחר‪,‬‬</w:t>
        <w:br/>
        <w:t>‫כרוכה מניה וביה בפעילות יחידות המסחר המצויות בבית כדוגמת חנויות הנתבעים‪.‬‬</w:t>
        <w:br/>
        <w:t>‫פעילות זו כוללת הגעה של משאיות וכלי רכב מסחריים לצורכי פריקה וטעינה של‬</w:t>
        <w:br/>
        <w:t>‫סחורה‪ ,‬כמו גם תנועת מלגזות ועגלות משא לצורכי שינוע הסחורה‪ ,‬ככל שנדרש כנגזרת‬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‪374/18‬‬   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‫של היקפי הפעילות המסחרית בבית המשותף‪ .‬פעילות פריקה וטעינה של סחורה כאמור‬</w:t>
        <w:br/>
        <w:t>‫תהא בגדר שימוש רגיל וסביר‪ ,‬ככל שלא תמנע שימוש של בעלי דירות אחרים ברכוש‬</w:t>
        <w:br/>
        <w:t>‫המשותף של הבית‪ ,‬וככל שלא תפגע בצרכי בעלי הדירות האחרים בבית (ראו לעניין זה‬</w:t>
        <w:br/>
        <w:t>‫רע"א ‪ ,3577/11‬אלון החזקות בריבוע כחול ‪ -‬ישראל בע"מ נ' נציגות הבית המשותף‬</w:t>
        <w:br/>
        <w:t>‫בשדרות זוהר טל ‪( 34‬פורסם בנבו‪ )30.6.2011 ,‬אשר אימץ את הקביעות העיקריות של‬</w:t>
        <w:br/>
        <w:t>‫הערכאה דלמטה‪ ,‬עש"א (מרכז) ‪( 10716-03-10‬פורסם בנבו‪)31.6.2011 ,‬‬</w:t>
        <w:br/>
        <w:t>‫‪ .46‬מתשריט רישום הבית המשותף‪ ,‬ומביקורי במקום עולה כי כביש הגישה נועד לאפשר‬</w:t>
        <w:br/>
        <w:t>‫גישה אל החניות הצמודות לדירות הבית‪ .‬בנסיבות אלו‪ ,‬ובשים לב לרוחבו של כביש‬</w:t>
        <w:br/>
        <w:t>‫הגישה העומד על כ ‪ 6 -‬מטר‪ ,‬סבורה אני כי ביצוע פעולות פריקה וטעינה בכביש הגישה‪,‬‬</w:t>
        <w:br/>
        <w:t>‫בין אם באמצעות רכבים גדולים ובין אם באמצעות רכבים קטנים‪ ,‬אינו מהווה שימוש‬</w:t>
        <w:br/>
        <w:t>‫סביר בכביש האמור‪ .‬יש בביצוע פעולות אלו משום הכבדה רבה על בעלי החניות‬</w:t>
        <w:br/>
        <w:t>‫הצמודות בשל חסימת הכניסה והיציאה לחניון‪ ,‬והפרעה לתמרון רכבים בתחומי החניון‪.‬‬</w:t>
        <w:br/>
        <w:t>‫לא זו אף זו‪ ,‬חברת הנציגות בר טל העידה כי המחסום המוביל לכביש הגישה בחניון‬</w:t>
        <w:br/>
        <w:t>‫ניזוק מספר פעמים בשל פעולות הפריקה והטעינה שבוצעו ממשאיות שהובילו סחורה‬</w:t>
        <w:br/>
        <w:t>‫לחניות הנתבעים (ראו סעיף ‪ 13‬לתצהירה אשר לא נסתר)‪.‬‬</w:t>
        <w:br/>
        <w:t>‫‪ .47‬להבדיל מפריקה וטעינה בכביש הגישה לא מצאתי כל פגם במעבר של עגלות להעברת‬</w:t>
        <w:br/>
        <w:t>‫סחורה בכביש הגישה‪ ,‬ללא העמדתן בכניסה לחניון ובכביש הגישה‪ .‬מעבר עגלות עמוסות‬</w:t>
        <w:br/>
        <w:t>‫סחורה ללא עמדתם בשטח המשותף מהווה שימוש סביר ברכוש המשותף‪.‬‬</w:t>
        <w:br/>
        <w:t>‫‪ .48‬אשר על כן‪ ,‬ונוכח האמור לעיל‪ ,‬מצאתי לקבל את התביעה ולאסור על הנתבעים או מי‬</w:t>
        <w:br/>
        <w:t>‫מטעמם לבצע פעולות פריקה וטעינה בכניסה לחניון ובכביש הגישה‪ .‬על מנת ליתן בידי‬</w:t>
        <w:br/>
        <w:t>‫הנתבעים שהות להיערך בהתאם‪ ,‬אני מורה כי פסק הדין ייכנס לתוקף החל מיום‬</w:t>
        <w:br/>
        <w:t>‫‪( 4.8.2021‬כולל)‪.‬‬</w:t>
        <w:br/>
        <w:t>‫‪ .49‬במקרה דנן‪ ,‬לא הובא כל פירוט באשר להוצאות הצדדים בהליך‪ ,‬וגם לא צורפה כל‬</w:t>
        <w:br/>
        <w:t>‫אסמכתא בעניין‪ .‬במצב דברים זה יש לראות את הצדדים כמי שהשאירו את ההכרעה‬</w:t>
        <w:br/>
        <w:t>‫בעניין ההוצאות לשיקול דעת בית המשפט (וראו לעניין זה ע"א ‪ ,2617/00‬תנובה מרכז‬</w:t>
        <w:br/>
        <w:t>‫שיתופי לשיווק תוצרת חקלאית בישראל בע"מ נ' הרשות המוסמכת למתן רישיונות יבוא‬</w:t>
        <w:br/>
        <w:t>‫‪ -‬משרד (פורסם בנבו‪ .)30.6.2005 ,‬בשקילת ההוצאות התחשבתי בשיקולים הבאים‪:‬‬</w:t>
        <w:br/>
        <w:t>‫הסעדים להם עתרה התובעת התקבלו‪ ,‬מספר הדיונים שהתקיימו (‪ 2‬קדמי משפט‪ ,‬ביקור‬</w:t>
        <w:br/>
        <w:t>‫במקום וישיבת הוכחות)‪ ,‬סכום האגרה ששילמה התובעת (‪ )₪ 649‬והתעריף המינימלי‬</w:t>
        <w:br/>
        <w:t>‫שנקבע לעניין שכר טרחת עורך דין בכללי לשכת עורכי הדין (התעריף המינימלי המומלץ)‪,‬‬</w:t>
        <w:br/>
        <w:t>‫התש"ס – ‪ .2000‬לאחר ששקלתי את השיקולים‪ ,‬כמפורט לעיל‪ ,‬מוצאת אני להורות לכל‬</w:t>
        <w:br/>
        <w:t>‫אחד מהנתבעים לשלם לתובעת סך של ‪ ₪ 1,500‬עבור הוצאות ההליך הכוללות אגרת‬</w:t>
        <w:br/>
        <w:t>‫משפט ושכר טרחת עורך דין‪ .‬סכום זה ישולם בתוך ‪ 30‬ימים מיום קבלת פסק הדין‪ ,‬שאם‬</w:t>
        <w:br/>
        <w:t>‫לא כן‪ ,‬יישא הפרשי הצמדה וריבית מיום קבלת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,‬כד' בתמוז‪ ,‬תשפ"א‪ 4 .‬ביולי‪ .2021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7/374/2018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