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02/112/2019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2020-07-20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‫גבורוב קלבדיה‬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דני גבעתי‬</w:t>
        <w:br/>
        <w:t>‫הרצל ‪ ,38‬אשקלון‬</w:t>
        <w:br/>
        <w:t>‫טל'‪ 08-6750077:‬פקס‪08-6752269:‬‬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והבית המשותף ברח' משה קול ‪ ,5‬אשקלון‬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שרון קולסקי‬</w:t>
        <w:br/>
        <w:t>‫העצמאות ‪ ,85‬אשדוד‬</w:t>
        <w:br/>
        <w:t>‫טל'‪ 08-6900331:‬פקס‪08-6900332:‬‬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.1‬התובעת‪ ,‬בעלת זכויות בדירה בבית המשותף הידוע כגוש ‪ 2880‬חלקה ‪ ,10‬הגישה לפני‬</w:t>
        <w:br/>
        <w:t>‫תביעה למתן צו עשה המורה לנתבעת לסמן בצבע אדום‪-‬לבן את הקיר החיצוני של דירתה‪,‬‬</w:t>
        <w:br/>
        <w:t>‫הפונה לחנייה של הבניין; להציב שלט האוסר על חניה בסמוך לקיר הדירה; ולסמן את‬</w:t>
        <w:br/>
        <w:t>‫השטח המצוי בסמוך לחלון דירתה באופן האוסר על החנייה שם‪.‬‬</w:t>
        <w:br/>
        <w:t>‫‪ .2‬יוער כי הבית המשותף מושא התביעה טרם נרשם בפנקס הבתים המשותפים אך חלות עליו‬</w:t>
        <w:br/>
        <w:t>‫הוראות פרק ו‪ 1‬לחוק המקרקעין‪ ,‬תשכ"ט‪( 1969-‬להלן‪" :‬חוק המקרקעין") – "בתים‬</w:t>
        <w:br/>
        <w:t>‫שאינם רשומים כבתים משותפים"‪ ,‬המחילות עליו את כל ההוראות הרלבנטיות בחוק זה‬</w:t>
        <w:br/>
        <w:t>‫לעניין בתים הרשומים כבתים משותפים‪.‬‬</w:t>
        <w:br/>
        <w:t>‫‪ .3‬בהתאם להחלטתי בתום הדיון שהתקיים בפני ביום ‪ ,15/6/2020‬הוגשו סיכומי הצדדים‬</w:t>
        <w:br/>
        <w:t>‫בשאלה האם לנתבעת מוקנית הסמכות לממש את הסעד המבוקש ע"י התובעת?‬</w:t>
        <w:br/>
        <w:t>‫‪ .4‬בסיכומיו‪ ,‬טען ב"כ התובעת כי הקיר והשטח עליו מבוקש לבצע סימון כדרישת התובעת‬</w:t>
        <w:br/>
        <w:t>‫הינם חלק מהרכוש המשותף‪ .‬ב"כ התובעת טען בצורה לאקונית כי "הסמכות לדון בענייני‬</w:t>
        <w:br/>
        <w:t>‫חנייה הנה נגזרת של הוראות חוק המקרקעין ובאה לידי ביטוי בפסקי דין רבים בהם‬</w:t>
        <w:br/>
        <w:t>‫הוכרו סוגיות הנוגעות לשימוש וסימון חנייה"‪ .‬בעניין זה הפנה למספר פסקי דין (כולם‬</w:t>
        <w:br/>
        <w:t>‫ערעורים אזרחיים) בלא שפירט והביא דוגמא קונקרטית מתוך פסק דין זה כזה או אחר‬</w:t>
        <w:br/>
        <w:t>‫המבארים את הסוגיה או מוכיחים את טענת התובעת בנקודה האמורה‪ .‬עיון בחלק מפסקי‬</w:t>
        <w:br/>
        <w:t>‫הדין מעלה כי הם נסובו על סוגיית הזכות לרישיון במקרקעין ולא ברור מדוע צוינו בהקשר‬</w:t>
        <w:br/>
        <w:t>‫של הסוגיה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טען ב"כ התובעת כי זכותו של הפרט‪ ,‬קרי התובעת‪ ,‬לעשות שימוש בקניינו‪ ,‬גוברת על‬</w:t>
        <w:br/>
        <w:t>‫זכות הדיירים האחרים לעשות שימוש ברכוש המשותף הגורם להפרעה או מניעת שימוש‬</w:t>
        <w:br/>
        <w:t>‫ברכוש הפרטי‪.‬‬</w:t>
        <w:br/>
        <w:t>‫‪ .6‬בסכומים מטעם הנתבעת הפנה ב"כ הנתבעת לחוק העזר לעיריית אשקלון (העמדת רכב‬</w:t>
        <w:br/>
        <w:t>‫וחנייתו) התשכ"ב‪ .1952-‬המסמיך את העירייה בלבד להציב תמרור בדבר איסור חנייה‪ ,‬או‬</w:t>
        <w:br/>
        <w:t>‫לסמן בצבע איסור חניה‪.‬‬</w:t>
        <w:br/>
        <w:t>‫‪ .7‬כן טען ב"כ הנתבעת כי אף אם קיימת סמכות לנתבעת לבצע את הסעד המבוקש הרי‬</w:t>
        <w:br/>
        <w:t>‫שמדובר בהחלטה המסורה לאסיפה הכללית של בעלי הדירות‪ .‬בענין זה הפנה לפסה"ד של‬</w:t>
        <w:br/>
        <w:t>‫כב' המפקח בירושלים בתיק ‪.453/2015‬‬</w:t>
        <w:br/>
        <w:t>‫‪ .8‬עוד טען ב"כ הנתבעת כי בקשת התובעת לאסור חנייה בסמוך לדירתה מיותרת שכן גם‬</w:t>
        <w:br/>
        <w:t>‫לטענתה הסעד מכוון כנגד משאיות מזדמנות העוצרות בסמוך לחלון דירתה לצורך פריקת‬</w:t>
        <w:br/>
        <w:t>‫סחורה‪ ,‬פינוי זבל וכיוב' לפרק זמן קצר‪ .‬לו היה מדובר בחנייה של ממש היה הדבר מונע‬</w:t>
        <w:br/>
        <w:t>‫מכלל הדיירים להיכנס או לצאת מהאזור בו הן מחנים את רכביהם ולכך ממילא לא היו‬</w:t>
        <w:br/>
        <w:t>‫מסכימים‪.‬‬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.9‬לאחר שבחנתי את טיעוני הצדדים אני סבור כי הסעד המבוקש ע"י התובעת מאת‬</w:t>
        <w:br/>
        <w:t>‫הנתבעת אינו בגדר סמכותה של האחרונה וכן כי התובעת לא ביססה עילה לכאורה כנגד‬</w:t>
        <w:br/>
        <w:t>‫הנתבעת‪ ,‬הכל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אין סמכות להציב "תמרור"‬</w:t>
        <w:br/>
        <w:t>‫‪ .10‬מקובלת טענת ב"כ הנתבעת כי הסמכות לסמן שטח המוגדר כ"אסור לחניה"‪ ,‬גם אם הוא‬</w:t>
        <w:br/>
        <w:t>‫אינו שטח ציבורי אלא חלק בלתי נפרד מהרכוש המשותף של בית משותף‪ ,‬מסורה בידי‬</w:t>
        <w:br/>
        <w:t>‫רשות תמרור שהוסמכה לכך‪ ,‬ובמקרה זה הרשות המקומית‪ ,‬קרי עיריית אשקלון‪ .‬בין אם‬</w:t>
        <w:br/>
        <w:t>‫מבוקש לסמן חלק משטח מסוים באדום לבן מתוך כוונה לאסור בו חניה (להבדיל מתוך‬</w:t>
        <w:br/>
        <w:t>‫כוונה לשיפור אסתטי ברכוש המשותף)‪ ,‬או הצבת שלט האוסר על חניה בחלק כזה או אחר‬</w:t>
        <w:br/>
        <w:t>‫של הרכוש המשותף ‪ -‬אין הדבר מצוי בגדר סמכותה של הנתבעת‪.‬‬</w:t>
        <w:br/>
        <w:t>‫‪ .11‬בתקנות התעבורה‪ ,‬תשכ"א‪( 1961 -‬להלן‪ :‬תקנות התבעבורה)‪ ,‬בסעיף ההגדרות‪ ,‬מצויות‬</w:t>
        <w:br/>
        <w:t>‫הגדרות כדלקמן‪" :‬רשות תימרור מרכזית" ‪ -‬המפקח על התעבורה שמונה לכל שטח‬</w:t>
        <w:br/>
        <w:t>‫המדינה או אדם שהמפקח אצל לו בהודעה ברשומות מסמכויותיו כרשות תימרור מרכזית‪,‬‬</w:t>
        <w:br/>
        <w:t>‫לכל שטח המדינה או לחלק ממנה; "רשות תימרור מקומית" ‪ -‬מי שהמפקח על התעבורה‬</w:t>
        <w:br/>
        <w:t>‫שמונה לכל שטח המדינה מינה אותו‪ ,‬בהודעה ברשומות‪ ,‬להיות רשות תימרור מקומית‬</w:t>
        <w:br/>
        <w:t>‫לגבי התחום או המקומות שקבעה" (הדגש אינו במקור –א‪.‬א)‪.‬‬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.12‬חוק עזר לאשקלון (העמדת רכב וחנייתו)‪ ,‬תשכ"ב‪ 1962-‬קובע בסעיף ‪ 2‬כך‪" :‬ראש העיריה‬</w:t>
        <w:br/>
        <w:t>‫רשאי‪ ,‬בהסכמת המפקח על התעבורה ולאחר התייעצות עם מפקד המשטרה‪ ,‬לאסור‪,‬‬</w:t>
        <w:br/>
        <w:t>‫להגביל ולהסדיר בתחום העיריה את העמדתו של רכב או סוג מסויים של רכב‪ ,‬לקבוע‬</w:t>
        <w:br/>
        <w:t>‫רחוב או מקום אחר כמקום חניה שבו מותרת החניה לרכב או לסוג מסויים של רכב וכן‬</w:t>
        <w:br/>
        <w:t>‫לקבוע את הימים‪ ,‬השעות והתקופות שבהם מותרת החניה ואת מספר כלי הרכב המותר‬</w:t>
        <w:br/>
        <w:t>‫בחניה בבת אחת באותו מקום‪".‬‬</w:t>
        <w:br/>
        <w:t>‫‪ .13‬בתקנות התעבורה מצויה הגדרה למונח "תמרור" כדלקמן‪" :‬תמרור" ‪ -‬כל סימון‪ ,‬אות או‬</w:t>
        <w:br/>
        <w:t>‫איתות לרבות רמזור‪ ,‬שקבעה רשות התימרור המרכזית ואשר הוצב או סומן על פי הסמכה‬</w:t>
        <w:br/>
        <w:t>‫או על פי הוראה מאת רשות תימרור כדי להסדיר את התנועה בדרכים או כדי להזהיר או‬</w:t>
        <w:br/>
        <w:t>‫להדריך עוברי דרך"‪.‬‬</w:t>
        <w:br/>
        <w:t>‫‪ .14‬מן המקובץ עולה כי תמרור‪ ,‬עפ"י טיבו והגדרתו‪ ,‬נועד להכווין ולהדריך את כל המשתמשים‬</w:t>
        <w:br/>
        <w:t>‫ב"דרך"‪ ,‬לרבות בחניה שאינה פרטית‪ ,‬ועל כן הסמכות להציב תמרור מסורה‪ ,‬כאמור‪ ,‬בידי‬</w:t>
        <w:br/>
        <w:t>‫הרשות השלטונית הרלבנטית‪ .‬לפיכך הגעתי לכלל מסקנה כי אין הנתבעת מוסמכת להעניק‬</w:t>
        <w:br/>
        <w:t>‫לתובעת את הסעד הקונקרטי (על חלקיו השונים) אותו היא 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עילה כלפי הנתבעת‬</w:t>
        <w:br/>
        <w:t>‫‪ .15‬לא זו בלבד שאין הנתבעת מוסמכת להעניק לתובעת את הסעד המבוקש‪ ,‬התובעת אף לא‬</w:t>
        <w:br/>
        <w:t>‫בססה ולו לכאורה עילה כנגד הנתבעת עפ"י הדין החל עליה‪.‬‬</w:t>
        <w:br/>
        <w:t>‫‪ .16‬סעיף ‪ 65‬לחוק המקרקעין מורה כי‪" :‬לכל בית משותף תהיה נציגות לשם ניהול ענייני‬</w:t>
        <w:br/>
        <w:t>‫הבית המשותף; הנציגות תיכון ותפעל לפי הוראות התקנון"‪ .‬סמכויותיה ותפקידה של‬</w:t>
        <w:br/>
        <w:t>‫נציגות הבית המשותף שאובים מסעיף ‪ 69‬לחוק‪" :‬הנציגות תשמש מורשה של כל בעלי‬</w:t>
        <w:br/>
        <w:t>‫הדירות בכל ענין הנוגע להחזקתו התקינה ולניהולו של הבית המשותף‪ ,‬והיא זכאית‬</w:t>
        <w:br/>
        <w:t>‫בענינים אלה להתקשר בחוזים ולהיות צד בכל הליך משפטי ובכל משא ומתן אחר בשם‬</w:t>
        <w:br/>
        <w:t>‫כל בעלי הדירות"‪ .‬הנציגות משמשת מורשה מטעם הבעלים בענייני החזקה וניהול הבית‬</w:t>
        <w:br/>
        <w:t>‫המשותף ובכללו הרכוש המשותף‪ ,‬ואף זכאית להיות צד להליך משפטי‪ .‬סעיף ‪ 73‬לחוק קובע‬</w:t>
        <w:br/>
        <w:t>‫כי הנציגות יכולה להביא סכסוך הנוגע לפעולתה ובגדר סמכותה לפני המפקח‪ ,‬ומתוך כך‬</w:t>
        <w:br/>
        <w:t>‫יכולה להתבע לפני המפקח ע"י מי מבעלי הדירות בשל סכסוך שכזה‪.‬‬</w:t>
        <w:br/>
        <w:t>‫‪" .17‬בכל הנוגע לגורמים המעורבים בניהול הבית המשותף‪ ,‬קיימת בחוק המקרקעין הבחנה‬</w:t>
        <w:br/>
        <w:t>‫בין שני גופים‪ :‬האחד ‪ -‬האסיפה הכללית והשני ‪ -‬נציגות הבית המשותף‪ .‬ככלל האסיפה‬</w:t>
        <w:br/>
        <w:t>‫הכללית קובעת את הכללים לפיהם ינוהל הבית המשותף ואילו הנציגות מיישמת כללים‬</w:t>
        <w:br/>
        <w:t>‫אלו בפועל ומבצעת את החלטות האסיפה הכללית (יהושע ויסמן‪ ,‬דיני קניין ‪ -‬בעלות‬</w:t>
        <w:br/>
        <w:t>‫ושיתוף (תשנ"ז) (להלן‪" :‬ויסמן") בעמוד ‪ .)445‬בהתאם לחוק המקרקעין‪ ,‬האסיפה‬</w:t>
        <w:br/>
        <w:t>‫הכללית דנה ומכריעה בנושאים אלו‪ :‬קביעת דרכי הניהול של הרכוש המשותף והשימוש‬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תיק‪2/112/2019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‫בו; קביעת תקציב ההוצאות; מינוי נציגות לבית המשותף; אישור החשבונות של גזבר‬</w:t>
        <w:br/>
        <w:t>‫הבית המשותף; הסדרת כל העניינים האחרים הנובעים מן השכנות בבית המשותף‪.‬‬</w:t>
        <w:br/>
        <w:t>‫חלוקת הסמכויות בין הנציגות לבין האסיפה הכללית‪ ,‬מלמדת על החלק הראשון לכלל לו‬</w:t>
        <w:br/>
        <w:t>‫אנו נדרשים ‪ -‬הסמכות לדון ולהחליט בעניין השימוש ברכוש המשותף ובכלל כך בנייה‬</w:t>
        <w:br/>
        <w:t>‫ברכוש המשותף מסורה לאסיפה הכללית ולא לנציגות הדיירים" (ראו עש"א (ת"א)‬</w:t>
        <w:br/>
        <w:t>‫‪ 30319-03-18‬מרכזי מסחר (אזו‪-‬ריט) בע"מ נ' רוזנפלד‪( ,‬נבו‪ ,)14.6.20 ,‬להלן‪ :‬ענין רוזנפלד)‪.‬‬</w:t>
        <w:br/>
        <w:t>‫‪ .18‬בעל דירה בבית המשותף רשאי להביא בפני המפקח סכסוך הנופל בגדר סמכויות המפקח‬</w:t>
        <w:br/>
        <w:t>‫על רישום מקרקעין הקבועות בסעיף ‪ 72‬לחוק המקרקעין‪ ,‬המורה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זכויותיהם או חובותיהם לפי‬</w:t>
        <w:br/>
        <w:t>‫התקנון‪ ...‬יכריע בו המפקח‪.‬‬</w:t>
        <w:br/>
        <w:t>‫(ב) ‪...‬‬</w:t>
        <w:br/>
        <w:t>‫(ג) ‪...‬‬</w:t>
        <w:br/>
        <w:t>‫(ד)‪...‬‬</w:t>
        <w:br/>
        <w:t>‫‪ .19‬בעניינו רשאית היתה התובעת לטעון לסכסוך בינה לבין הנתבעת על יסוד סעיף ‪(3‬א)‬</w:t>
        <w:br/>
        <w:t>‫לתקנון המצוי המופיע בתוספת לחוק המקרקעין‪ .‬סעיף זה קובע לאמור‪" :‬בעל דירה זכאי‬</w:t>
        <w:br/>
        <w:t>‫לדרוש מהנציגות שתבצע כל תיקון בבית המשותף או ברכוש המשותף‪ ,‬שאי ביצועו עלול‬</w:t>
        <w:br/>
        <w:t>‫לפגוע בדירתו או בערכה"‪.‬‬</w:t>
        <w:br/>
        <w:t>‫‪ .20‬סעיף זה לתקנון מעגן את חובתה של נציגות הבית המשותף לפעול לתיקון כל ליקוי‬</w:t>
        <w:br/>
        <w:t>‫המתגלה ברכוש המשותף‪ ,‬הפוגע בשימוש של מי מבעלי הדירות בנכס שבבעלותו או בערכו‪.‬‬</w:t>
        <w:br/>
        <w:t>‫מכח חובה כללית זו מוטלת חובה על הנציגות לפעול לאיתור ולתיקון ליקויים בגג הבית‬</w:t>
        <w:br/>
        <w:t>‫המשותף‪ ,‬בקירות החיצוניים או בצנרת המשותפת למניעת נזקי רטיבות והצפה וכן לפעול‬</w:t>
        <w:br/>
        <w:t>‫לתיקון ליקויים בחלקים של הרכוש המשותף‪ ,‬לרבות בדלת הכניסה‪ ,‬בחדר המדרגות‬</w:t>
        <w:br/>
        <w:t>‫ובמעלית‪.‬‬</w:t>
        <w:br/>
        <w:t>‫‪ .21‬ברם‪ ,‬אין נציגות הבית המשותף מוסמכת לקבוע את דרכי השימוש בחניה המשותפת ‪ -‬עניין‬</w:t>
        <w:br/>
        <w:t>‫זה מ סור לידי האסיפה הכללית‪ .‬לדידי אין כל מחלוקת כי הסדרת השימוש בחניה‬</w:t>
        <w:br/>
        <w:t>‫המשותפת מסורה בידי האסיפה הכללית ואין לי צורך לבחון את פסקי הדין שדנו בכך‪.‬‬</w:t>
        <w:br/>
        <w:t>‫מפסקי הדין הרלבנטיים‪ ,‬כולל פסק דינה של כב' המפקחת בתיק ‪ ,1/435/2015‬אליו הפנה‬</w:t>
        <w:br/>
        <w:t>‫ב"כ הנתבעת‪ ,‬עולה כי נקודת המוצא לדיון בהסדרת שימושי חנייה היא שהדבר מסור‬</w:t>
        <w:br/>
        <w:t>‫לאסיפה הכללית (כן ראו‪ ,‬למשל‪ ,‬ענין רוזנפלד)‪ .‬בכל הנוגע להצבת "תמרור" בחנייה‪ ,‬אזי‪,‬‬</w:t>
        <w:br/>
        <w:t>‫כאמור לעיל‪ ,‬אין לנציגות ואף לא לאסיפה הכללית‪ ,‬סמכות להציב "תמרור" כהגדרתו‬</w:t>
        <w:br/>
        <w:t>‫בתקנות התעבורה בשטח הרכוש המשותף (או בכל שטח אחר)‪ .‬ודוק‪ :‬אין חולק כי לאסיפה‬</w:t>
        <w:br/>
        <w:t>‫הכללית יש סמכות להורות לנציגות‪ ,‬ברוב הדרוש‪ ,‬על סימון חניות במשטח החניה המהווה‬</w:t>
        <w:br/>
        <w:t>‫רכוש משותף באופן שיסדיר את חלוקתו והשימוש בו ע"י בעלי הדירות ובהסכמת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ניתן אף להקצות לכל אחד מהם שטח חנייה שבו תהיה לו זכות שימוש ייחודית‬</w:t>
        <w:br/>
        <w:t>‫(ראו תיק ‪ .)1/453/2015‬אולם‪ ,‬ברי כי אין לאסיפה הכללית סמכות להציב תמרורים או‬</w:t>
        <w:br/>
        <w:t>‫לבצע סימון על משטח החניה שיש בהם כדי לחייב את הציבור הרחב העושה שימוש בחניה‪,‬‬</w:t>
        <w:br/>
        <w:t>‫למעט הצבת שלט המורה כי מדובר בחניה המיועדת לבעלי הדירות בלבד‪ .‬לשלט זה אין‬</w:t>
        <w:br/>
        <w:t>‫נפקות בהיבט של פקודת התעבורה והוא למעשה מהווה הצהרה על זכות קניינית של בעלי‬</w:t>
        <w:br/>
        <w:t>‫הדירות בחניה המהווה רכוש המשותף‪ .‬על מנת למנוע כניסה ושימוש מצד הציבור הרחב‪,‬‬</w:t>
        <w:br/>
        <w:t>‫בהעדר אמצעי בקרה אפקטיבי של בעלי הדירות כגון תמרור שהוצב כדין ע"י רשות‬</w:t>
        <w:br/>
        <w:t>‫תימרור‪ ,‬רשאית האסיפה להחליט על הקמת מחסום בכניסה לרכוש המשותף‪.‬‬</w:t>
        <w:br/>
        <w:t>‫‪ .22‬עפ"י כתב התביעה (אשר חסר בפרטים) ובעיקר עפ"י דברי ב"כ התובעת בדיון לפני‪,‬‬</w:t>
        <w:br/>
        <w:t>‫התובעת מלינה כנגד התופעה‪ ,‬כך לטענתה‪ ,‬שבה משאיות לפינוי אשפה‪ ,‬מילוי גז‪ ,‬משאיות‬</w:t>
        <w:br/>
        <w:t>‫הובלה ואספקה וכיו"ב‪ ,‬עומדות מחוץ לחלון דירתה וגורמות לה למטרדי רעש וזיהום אוויר‬</w:t>
        <w:br/>
        <w:t>‫וחוסמים כניסה של אור ואוויר לדירתה‪ .‬לדברי ב"כ התובעת עצמו "מה שקורה שעל בסיס‬</w:t>
        <w:br/>
        <w:t>‫קבוע מחנים שם לא דווקא דיירי הבניין‪ ,‬בדרך כלל הבעיה הגדולה זה בעיקר נושא של‬</w:t>
        <w:br/>
        <w:t>‫משאיות שעומדות בסמוך לחלון‪ "...‬ובהמשך‪..." :‬אנחנו לא מדברים על רכבים שמחנים‬</w:t>
        <w:br/>
        <w:t>‫מהבניין‪( "...‬עמ' ‪ 1‬ש' ‪ 18-21‬לפרוטוקול)‪ .‬טענת ב"כ התובע בסיכומיו‪ ,‬לפיה עסקינן בפגיעה‬</w:t>
        <w:br/>
        <w:t>‫בזכות התובעת לממש את קניינה ביחס לשימוש שעושים דיירי הבניין ברכוש המשותף‬</w:t>
        <w:br/>
        <w:t>‫אינה עולה מהטענות העובדתיות שהועלו על ידו ואין בה דבר עם המחלוקת שלפני‪ .‬טענות‬</w:t>
        <w:br/>
        <w:t>‫התובעת להלכה ולמעשה‪ ,‬אינן כנגד אופן השימוש שעושים בעלי דירות בחנייה המשותפת‪,‬‬</w:t>
        <w:br/>
        <w:t>‫כי אם צדדים שלישיים‪ ,‬ועל כן גם לא נוצרה יריבות בינה לבין הנתבעת בהקשר זה‪.‬‬</w:t>
        <w:br/>
        <w:t>‫‪ .23‬לאור כל האמור בפרק זה‪ ,‬אין בפי התובעת טענות המבססות ולו עילה לכאורה כנגד‬</w:t>
        <w:br/>
        <w:t>‫הנתבעת‪.‬‬</w:t>
        <w:br/>
        <w:t>‫‪ .24‬אשר לטענת ב"כ הנתבעת כי כלל אין צורך מעשי בהצבת שלט האוסר על חניה במקום עליו‬</w:t>
        <w:br/>
        <w:t>‫הצביעה התובעת‪ ,‬שכן ממילא לא מדובר בחניה של משאיות במקום אלא בעמידה למשך‬</w:t>
        <w:br/>
        <w:t>‫פרק זמן קצר לצורך פריקת סחורה וכד'‪ ,‬אפנה את הצדדים להגדרת המונח חנייה בתקנות‬</w:t>
        <w:br/>
        <w:t>‫התעבורה‪" :‬חניה" ‪ -‬העמדת רכב לזמן כל שהוא‪ ,‬שלא לשם העלאת אנשים או הורדתם‬</w:t>
        <w:br/>
        <w:t>‫או טעינת מטען או פריקתו מיד‪ ,‬בלי הפסקות‪ ,‬בין שיש ברכב נהג או אנשים או מטען ובין‬</w:t>
        <w:br/>
        <w:t>‫שאין‪ .‬הואיל וב"כ התובעת טען בפני כי המשאיות עומדות במקום פרק זמן של חמש עד‬</w:t>
        <w:br/>
        <w:t>‫עשרים דקות‪ ,‬אזי לכאורה יש הגיון ברצון התובעת לאסור "חניה" באותו מקום‪.‬‬</w:t>
        <w:br/>
        <w:t>‫‪ .25‬דומה שאת מצוקתה של הנתבעת‪ ,‬העולה לדבריה לכדי מטרד של ממש‪ ,‬עליה להביא לפני‬</w:t>
        <w:br/>
        <w:t>‫העירייה ולשכנע את הגורם המוסמך בעירייה להציב שילוט ולבצע סימון באופן שימנע את‬</w:t>
        <w:br/>
        <w:t>‫המטרד‪ ,‬הנגרם ע"י כלי רכב שאינם שייכים לבעלי הדירות בבית המשותף‪ ,‬או מי מטעמם‪.‬‬</w:t>
        <w:br/>
        <w:t>‫‪ .26‬סוף דבר‪ :‬נוכח שתי המסקנות אליהן הגעתי‪ ,‬כמפורט לעיל‪ ,‬אני סבור כי דין התביעה דנן‬</w:t>
        <w:br/>
        <w:t>‫להיות מסולקת על הסף והנני מורה כן מכח סמכותי לפי תקנה ‪ 100‬לתקנות סדר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תיק‪2/112/2019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‫האזרחי‪ ,‬התשמ"ד‪ .1984-‬התובעת תישא בהוצאות הנתבעת בסך של ‪ ,₪ 2,500‬אשר‬</w:t>
        <w:br/>
        <w:t>‫ישולמו תוך ‪ 30‬יום ולאחר מכן יישאו הפרשי ריבית והצמדה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30‬יולי ‪ ,2020‬ט' באב תש"פ‪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02/112/2019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