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5/845/2015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‫תיקים‪5/845/2015 :‬‬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‫אופירה גולומב‪ ,‬עו"ד‬                ‫התובעת‪:‬‬</w:t>
        <w:br/>
        <w:t>‫מרחוב בוני העיר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.1‬ליאור ברון‬                 ‫הנתבעים‪:‬‬</w:t>
        <w:br/>
        <w:t>‫‪ .2‬טליה ברון‬</w:t>
        <w:br/>
        <w:t>‫ע"י ב"כ עוה"ד מיכל ברון שחק‬</w:t>
        <w:br/>
        <w:t>‫מרחוב הגלבוע ‪ 9‬גבעתיים‬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בעלי דירות בבית המשותף ברחוב אפטר ‪ 1‬תל אביב הבנוי על חלקה ‪17‬‬</w:t>
        <w:br/>
        <w:t>‫בגוש ‪ .7222‬הבית נרשם כבית משותף בפנקס הבתים המשותפים ועל ניהולו חל תקנון‬</w:t>
        <w:br/>
        <w:t>‫מוסכם‪ .‬על פי מסמכי רישום הבית המשותף לדירות הצדדים צמודות חניות שונות בחצר‬</w:t>
        <w:br/>
        <w:t>‫הבית המשותף‪ .‬כמו כן ישנו מרחב תמרון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טוענת כי הנתבעים מעמידים דרך קבע עגלה נגררת בשטח הרכוש המשותף‬</w:t>
        <w:br/>
        <w:t>‫במתחם החנייה‪ .‬לטענת התובעת עגלה זו חוסמת ומפריעה לגישה לחניה הצמודה לדירתה‬</w:t>
        <w:br/>
        <w:t>‫‪ -‬חנייה המסומנת בתשריט הבית המשותף באות י"ב )להלן‪" :‬חניית התובעת"(‪.‬‬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טוענים כי העגלה הנגררת חונה במקומה במשך ‪ 4‬שנים‪ ,‬בצדו של מגרש החניה‪,‬‬</w:t>
        <w:br/>
        <w:t>‫והיא איננה חוסמת כלל את הכניסה לחניית התובעת‪ .‬הנגרר הוזז לבקשת התובעת ומצוי‬</w:t>
        <w:br/>
        <w:t>‫מרחק של כ‪ 5 -‬מטרים מהחניה‪ .‬אין כל מטרד בחניית הנגרר ולא כל הפרעה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מיום ‪ ,16.02.16‬לאחר שהתיק כבר נקבע להגשת ושמיעת ראיות‪ ,‬הגיעו הצדדים‬</w:t>
        <w:br/>
        <w:t>‫להסכמה דיונית לפיה "נבקש לבטל את החלטת המפקח ולקבוע את התיק לביקור במקום‬</w:t>
        <w:br/>
        <w:t>‫לאחריו יינתן פסק דין ע"י המפקח על יסוד התרשמותו וטיעוני הצדדים בתיק"‪.‬‬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27.03.16‬נערך ביקור במקום‪ ,‬במסגרתו התרשמתי באופן בלתי אמצעי ממתחם‬</w:t>
        <w:br/>
        <w:t>‫החניה בבית‪ ,‬מחניית התובעת וממיקום הנגרר‪ .‬במהלך הביקור אף התבקשו בעלה של‬</w:t>
        <w:br/>
        <w:t>‫התובעת והנתבע להחנות את רכביהם בחניית התובעת כאשר הנגרר עומד במקומו‪.‬‬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‫תיקים‪5/845/2015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.6‬מן הביקור במקום עולה כי‪ ,‬אומנם‪ ,‬אין בחניית הנגרר ברכוש המשותף כדי לחסום‬</w:t>
        <w:br/>
        <w:t>‫לחלוטין את הגישה לחניית התובעת – הן בעלה של התובעת והן הנתבע‪ ,‬שניהם בכלי רכב‬</w:t>
        <w:br/>
        <w:t>‫גדולים יחסית‪ ,‬הצליחו להיכנס עם רכבם לחניה בשעה שהנגרר חונה במקומו ‪ -‬שני כלי‬</w:t>
        <w:br/>
        <w:t>‫הרכב הצליחו )מי בתמרון אחד ומי במספר תמרונים( להחנות את הרכב בתוך תחום‬</w:t>
        <w:br/>
        <w:t>‫החניה‪.‬‬</w:t>
        <w:br/>
        <w:t>‫אולם‪ ,‬ניכר בבירור כי הנגרר מגביל את התמרון בכניסה לחניית התובעת‪ ,‬הגבלה אשר‪,‬‬</w:t>
        <w:br/>
        <w:t>‫כשלעצמה‪ ,‬מצדיקה מתן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.7‬ראשית‪ ,‬אף שניתן להיכנס לחניה בנסיעה קדמית ב"מהלך נסיעה אחד" )כפי שהדגים‬</w:t>
        <w:br/>
        <w:t>‫הנתבע(‪ ,‬הרי שמדובר בכניסה קרובה מאד לפגיעה בכלי הרכב העומדים משני צדדי החניה‬</w:t>
        <w:br/>
        <w:t>‫)מצד אחד הרכב החונה בחניה המסומנת י"ג בתשריט ומצד שני הנגרר החונה ברכוש‬</w:t>
        <w:br/>
        <w:t>‫המשותף(‪ .‬אין התובעת צריכה לעמוד בפני סיכון נוסף ומיותר בתמרון החניה אך בשל‬</w:t>
        <w:br/>
        <w:t>‫רצונם של הנתבעים להחנות את הנגרר ברכוש המשותף במיקום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.8‬שנית‪ ,‬הדגמת החניה על ידי בעלה של התובעת מלמדת על כי לא כל נהג מסוגל להחנות‬</w:t>
        <w:br/>
        <w:t>‫את הרכב במהלך נסיעה קדמית אחד‪ ,‬ודאי כאשר מדובר בכלי רכב גדול יחסית‪ .‬ויודגש‪ ,‬וו‬</w:t>
        <w:br/>
        <w:t>‫הגרירה של הנגרר בולט מעבר לשטחו של הנגרר ומפריע אף הוא לתמרון‪ ,‬בפרט כאשר‬</w:t>
        <w:br/>
        <w:t>‫מדובר בחלק קטן‪ ,‬בולט ויחסית נסתר בנגרר‪.‬‬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.9‬שלישית‪ ,‬חניית הנגרר מונעת אפשרות יציאה מחניית התובעת בנסיעה אחורית ישרה‬</w:t>
        <w:br/>
        <w:t>‫)למתחם התמרון הסמוך בצד השני של החניה ליד חניה ב' המסומנת בתשריט הבית‬</w:t>
        <w:br/>
        <w:t>‫המשותף( ומשם בנסיעה חזיתית לצד דרך המעבר עד לרחוב אפטר‪ .‬למעשה‪ ,‬בשל חניית‬</w:t>
        <w:br/>
        <w:t>‫הנגרר נדרשת יציאה בנסיעה אחורית עד למרחב התמרון בקצה השני של הבית )ליד חניה‬</w:t>
        <w:br/>
        <w:t>‫חניית הנגרר מגבילה‬       ‫המסומנת כ' בתשריט( או במקום חנייה פנוי‪ ,‬ככל שישנו כזה‪.‬‬</w:t>
        <w:br/>
        <w:t>‫משמעותית את יכולות התמרון ביציאה של רכב החונה בחניית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.10‬רביעית‪ ,‬מן הביקור במקום עולה בבירור כי חניית הנגרר מונעת אפשרות לכניסה בנסיעה‬</w:t>
        <w:br/>
        <w:t>‫אחורית לחניית התובעת‪ .‬חנייה שכזו מחייבת‪ ,‬לכאורה‪ ,‬תמרון אחורי כבר מהכניסה‬</w:t>
        <w:br/>
        <w:t>‫לחנייה‪ .‬ויודגש‪ ,‬ללא חניית הנגרר ביכולתה של התובעת לעשות שימוש ברחבת התמרון‬</w:t>
        <w:br/>
        <w:t>‫המשותפת על פי מסמכי רישום הבית המשותף לשם כניסה בהילוך אחורי לחניה בצורה‬</w:t>
        <w:br/>
        <w:t>‫ישרה ובטוחה‪ .‬הגבלה זו מהווה פגיעה קניינית ברורה בזכותה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.11‬חמישית‪ ,‬לא ניתן לקבוע מיקום מדויק לחניית הנגרר בחצר הבית בהעדר סימון והסכמה‬</w:t>
        <w:br/>
        <w:t>‫מפורשת של כל בעלי הדירות‪ .‬די בתזוזה של עשרות סנטימרים בודדים בחניית הנגרר‬</w:t>
        <w:br/>
        <w:t>‫לכיוון חניית התובעת כדי לחסום לחלוטין את הגישה לחניה‪ ,‬ודאי כאשר הרכב החונה‬</w:t>
        <w:br/>
        <w:t>‫בחניה המסומנת באות י"ג חונה קרוב לגבול החנייה עם חניית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‫תיקים‪5/845/2015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כל האמור לעיל אני מקבל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.13‬אני אוסר בזה על הנתבעים להחנות את הנגרר בשטח הרכוש המשותף בבית ככלל‪ ,‬ובפרט‬</w:t>
        <w:br/>
        <w:t>‫במקום בו חונה נגרר זה על פי כתבי הטענות ובמהלך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.14‬אני מחייב את הנתבעים לסלק את הנגרר ממקום החניה האמור בתוך ‪ 7‬ימים מקבלת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.15‬אני מחייב את הנתבעים לשלם לתובעת סך כולל של ‪ ₪ 1,200‬בגין החזר הוצאות ניהול‬</w:t>
        <w:br/>
        <w:t>‫ההליכים‪.‬‬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.16‬בפסיקת החזר ההוצאות כאמור התחשבתי בתוצאות פסק הדין‪ ,‬בהסכמה הדיונית אשר‬</w:t>
        <w:br/>
        <w:t>‫הביאה לניהול יעיל‪ ,‬ענייני ומהיר של ההליך )לאחר הגשת כתבי טענות‪ ,‬דיון מקדמי‬</w:t>
        <w:br/>
        <w:t>‫וביקור במקום בלבד( ובעובדה כי התובעת ייצגה את עצמה בהליך‪.‬‬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י"ח אדר ב תשע"ו‪ 28 ,‬מרץ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5/845/2015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