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2563EB"/>
          <w:sz w:val="36"/>
        </w:rPr>
        <w:t>ATLAS</w:t>
      </w:r>
    </w:p>
    <w:p>
      <w:pPr>
        <w:pStyle w:val="Title"/>
        <w:jc w:val="center"/>
      </w:pPr>
      <w:r>
        <w:t>Atlas Studio</w:t>
      </w:r>
    </w:p>
    <w:p>
      <w:pPr>
        <w:jc w:val="center"/>
      </w:pPr>
      <w:r>
        <w:rPr>
          <w:rFonts w:ascii="Aptos Display" w:hAnsi="Aptos Display"/>
          <w:color w:val="475569"/>
          <w:sz w:val="38"/>
        </w:rPr>
        <w:t>Platform Architecture and Implementation Specification</w:t>
      </w:r>
    </w:p>
    <w:p>
      <w:pPr>
        <w:spacing w:before="360"/>
        <w:jc w:val="center"/>
      </w:pPr>
      <w:r>
        <w:rPr>
          <w:color w:val="64748B"/>
          <w:sz w:val="20"/>
        </w:rPr>
        <w:t>Version 1.0 • 9 October 2026</w:t>
      </w:r>
    </w:p>
    <w:p>
      <w:pPr>
        <w:spacing w:before="1200"/>
        <w:jc w:val="center"/>
      </w:pPr>
      <w:r>
        <w:rPr>
          <w:b/>
          <w:color w:val="1E3A5F"/>
          <w:sz w:val="20"/>
        </w:rPr>
        <w:t>Architectural position</w:t>
      </w:r>
    </w:p>
    <w:p>
      <w:pPr>
        <w:ind w:left="1584" w:right="1584"/>
        <w:jc w:val="center"/>
      </w:pPr>
      <w:r>
        <w:rPr>
          <w:color w:val="334155"/>
          <w:sz w:val="22"/>
        </w:rPr>
        <w:t>Studio is the configuration and orchestration control plane for Atlas. Every module participates through safe typed contracts. Domain engines remain authoritative for business truth and protected mutations.</w:t>
      </w:r>
    </w:p>
    <w:p>
      <w:r>
        <w:br w:type="page"/>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r>
              <w:rPr>
                <w:b/>
              </w:rPr>
              <w:t>Document</w:t>
            </w:r>
          </w:p>
        </w:tc>
        <w:tc>
          <w:tcPr>
            <w:tcW w:type="dxa" w:w="4997"/>
            <w:vAlign w:val="center"/>
          </w:tcPr>
          <w:p>
            <w:r>
              <w:t>Atlas Studio Platform Architecture and Implementation Specification</w:t>
            </w:r>
          </w:p>
        </w:tc>
      </w:tr>
      <w:tr>
        <w:tc>
          <w:tcPr>
            <w:tcW w:type="dxa" w:w="4997"/>
            <w:vAlign w:val="center"/>
          </w:tcPr>
          <w:p>
            <w:r>
              <w:rPr>
                <w:b/>
              </w:rPr>
              <w:t>Status</w:t>
            </w:r>
          </w:p>
        </w:tc>
        <w:tc>
          <w:tcPr>
            <w:tcW w:type="dxa" w:w="4997"/>
            <w:vAlign w:val="center"/>
          </w:tcPr>
          <w:p>
            <w:r>
              <w:t>Architecture baseline for implementation</w:t>
            </w:r>
          </w:p>
        </w:tc>
      </w:tr>
      <w:tr>
        <w:tc>
          <w:tcPr>
            <w:tcW w:type="dxa" w:w="4997"/>
            <w:vAlign w:val="center"/>
          </w:tcPr>
          <w:p>
            <w:r>
              <w:rPr>
                <w:b/>
              </w:rPr>
              <w:t>Date</w:t>
            </w:r>
          </w:p>
        </w:tc>
        <w:tc>
          <w:tcPr>
            <w:tcW w:type="dxa" w:w="4997"/>
            <w:vAlign w:val="center"/>
          </w:tcPr>
          <w:p>
            <w:r>
              <w:t>9 October 2026</w:t>
            </w:r>
          </w:p>
        </w:tc>
      </w:tr>
      <w:tr>
        <w:tc>
          <w:tcPr>
            <w:tcW w:type="dxa" w:w="4997"/>
            <w:vAlign w:val="center"/>
          </w:tcPr>
          <w:p>
            <w:r>
              <w:rPr>
                <w:b/>
              </w:rPr>
              <w:t>Primary audience</w:t>
            </w:r>
          </w:p>
        </w:tc>
        <w:tc>
          <w:tcPr>
            <w:tcW w:type="dxa" w:w="4997"/>
            <w:vAlign w:val="center"/>
          </w:tcPr>
          <w:p>
            <w:r>
              <w:t>Atlas engineering agents, maintainers and product architecture</w:t>
            </w:r>
          </w:p>
        </w:tc>
      </w:tr>
    </w:tbl>
    <w:p/>
    <w:p>
      <w:r>
        <w:rPr>
          <w:b/>
          <w:color w:val="0F172A"/>
          <w:sz w:val="26"/>
        </w:rPr>
        <w:t>How to use this document</w:t>
      </w:r>
    </w:p>
    <w:p>
      <w:r>
        <w:t>Treat the numbered architectural rules and hard boundaries as constraints. Module-specific sections explain intended composition, not permission to bypass module services. Implementation should proceed in the sequence described in Section 27 and prove each layer with tests before widening exposure.</w:t>
      </w:r>
    </w:p>
    <w:p>
      <w:r>
        <w:br w:type="page"/>
      </w:r>
    </w:p>
    <w:p>
      <w:pPr>
        <w:pStyle w:val="Heading1"/>
      </w:pPr>
      <w:r>
        <w:t>Contents</w:t>
      </w:r>
    </w:p>
    <w:p>
      <w:pPr>
        <w:spacing w:after="20"/>
      </w:pPr>
      <w:r>
        <w:rPr>
          <w:b/>
          <w:color w:val="1E3A5F"/>
          <w:sz w:val="19"/>
        </w:rPr>
        <w:t>1. Executive decision</w:t>
      </w:r>
    </w:p>
    <w:p>
      <w:pPr>
        <w:spacing w:after="0"/>
        <w:ind w:left="317"/>
      </w:pPr>
      <w:r>
        <w:rPr>
          <w:color w:val="475569"/>
          <w:sz w:val="16"/>
        </w:rPr>
        <w:t>1.1 The architectural decision</w:t>
      </w:r>
    </w:p>
    <w:p>
      <w:pPr>
        <w:spacing w:after="0"/>
        <w:ind w:left="317"/>
      </w:pPr>
      <w:r>
        <w:rPr>
          <w:color w:val="475569"/>
          <w:sz w:val="16"/>
        </w:rPr>
        <w:t>1.2 Why this is a game changer</w:t>
      </w:r>
    </w:p>
    <w:p>
      <w:pPr>
        <w:spacing w:after="0"/>
        <w:ind w:left="317"/>
      </w:pPr>
      <w:r>
        <w:rPr>
          <w:color w:val="475569"/>
          <w:sz w:val="16"/>
        </w:rPr>
        <w:t>1.3 Non-goals</w:t>
      </w:r>
    </w:p>
    <w:p>
      <w:pPr>
        <w:spacing w:after="20"/>
      </w:pPr>
      <w:r>
        <w:rPr>
          <w:b/>
          <w:color w:val="1E3A5F"/>
          <w:sz w:val="19"/>
        </w:rPr>
        <w:t>2. Platform principles</w:t>
      </w:r>
    </w:p>
    <w:p>
      <w:pPr>
        <w:spacing w:after="0"/>
        <w:ind w:left="317"/>
      </w:pPr>
      <w:r>
        <w:rPr>
          <w:color w:val="475569"/>
          <w:sz w:val="16"/>
        </w:rPr>
        <w:t>Everything connects through contracts, not internal imports</w:t>
      </w:r>
    </w:p>
    <w:p>
      <w:pPr>
        <w:spacing w:after="0"/>
        <w:ind w:left="317"/>
      </w:pPr>
      <w:r>
        <w:rPr>
          <w:color w:val="475569"/>
          <w:sz w:val="16"/>
        </w:rPr>
        <w:t>Domain ownership remains absolute</w:t>
      </w:r>
    </w:p>
    <w:p>
      <w:pPr>
        <w:spacing w:after="0"/>
        <w:ind w:left="317"/>
      </w:pPr>
      <w:r>
        <w:rPr>
          <w:color w:val="475569"/>
          <w:sz w:val="16"/>
        </w:rPr>
        <w:t>Configuration is versioned software</w:t>
      </w:r>
    </w:p>
    <w:p>
      <w:pPr>
        <w:spacing w:after="0"/>
        <w:ind w:left="317"/>
      </w:pPr>
      <w:r>
        <w:rPr>
          <w:color w:val="475569"/>
          <w:sz w:val="16"/>
        </w:rPr>
        <w:t>Flexibility must fail safely</w:t>
      </w:r>
    </w:p>
    <w:p>
      <w:pPr>
        <w:spacing w:after="0"/>
        <w:ind w:left="317"/>
      </w:pPr>
      <w:r>
        <w:rPr>
          <w:color w:val="475569"/>
          <w:sz w:val="16"/>
        </w:rPr>
        <w:t>Complexity underneath, simplicity on screen</w:t>
      </w:r>
    </w:p>
    <w:p>
      <w:pPr>
        <w:spacing w:after="0"/>
        <w:ind w:left="317"/>
      </w:pPr>
      <w:r>
        <w:rPr>
          <w:color w:val="475569"/>
          <w:sz w:val="16"/>
        </w:rPr>
        <w:t>Security is inherited and narrowed, never widened</w:t>
      </w:r>
    </w:p>
    <w:p>
      <w:pPr>
        <w:spacing w:after="0"/>
        <w:ind w:left="317"/>
      </w:pPr>
      <w:r>
        <w:rPr>
          <w:color w:val="475569"/>
          <w:sz w:val="16"/>
        </w:rPr>
        <w:t>Explainability is a first-class feature</w:t>
      </w:r>
    </w:p>
    <w:p>
      <w:pPr>
        <w:spacing w:after="0"/>
        <w:ind w:left="317"/>
      </w:pPr>
      <w:r>
        <w:rPr>
          <w:color w:val="475569"/>
          <w:sz w:val="16"/>
        </w:rPr>
        <w:t>No second source of truth</w:t>
      </w:r>
    </w:p>
    <w:p>
      <w:pPr>
        <w:spacing w:after="0"/>
        <w:ind w:left="317"/>
      </w:pPr>
      <w:r>
        <w:rPr>
          <w:color w:val="475569"/>
          <w:sz w:val="16"/>
        </w:rPr>
        <w:t>Portable, testable packages</w:t>
      </w:r>
    </w:p>
    <w:p>
      <w:pPr>
        <w:spacing w:after="0"/>
        <w:ind w:left="317"/>
      </w:pPr>
      <w:r>
        <w:rPr>
          <w:color w:val="475569"/>
          <w:sz w:val="16"/>
        </w:rPr>
        <w:t>Progressive exposure</w:t>
      </w:r>
    </w:p>
    <w:p>
      <w:pPr>
        <w:spacing w:after="20"/>
      </w:pPr>
      <w:r>
        <w:rPr>
          <w:b/>
          <w:color w:val="1E3A5F"/>
          <w:sz w:val="19"/>
        </w:rPr>
        <w:t>3. Existing Atlas baseline</w:t>
      </w:r>
    </w:p>
    <w:p>
      <w:pPr>
        <w:spacing w:after="0"/>
        <w:ind w:left="317"/>
      </w:pPr>
      <w:r>
        <w:rPr>
          <w:color w:val="475569"/>
          <w:sz w:val="16"/>
        </w:rPr>
        <w:t>3.1 Existing strengths to preserve</w:t>
      </w:r>
    </w:p>
    <w:p>
      <w:pPr>
        <w:spacing w:after="0"/>
        <w:ind w:left="317"/>
      </w:pPr>
      <w:r>
        <w:rPr>
          <w:color w:val="475569"/>
          <w:sz w:val="16"/>
        </w:rPr>
        <w:t>3.2 Existing problem Studio should solve</w:t>
      </w:r>
    </w:p>
    <w:p>
      <w:pPr>
        <w:spacing w:after="20"/>
      </w:pPr>
      <w:r>
        <w:rPr>
          <w:b/>
          <w:color w:val="1E3A5F"/>
          <w:sz w:val="19"/>
        </w:rPr>
        <w:t>4. Target architecture</w:t>
      </w:r>
    </w:p>
    <w:p>
      <w:pPr>
        <w:spacing w:after="0"/>
        <w:ind w:left="317"/>
      </w:pPr>
      <w:r>
        <w:rPr>
          <w:color w:val="475569"/>
          <w:sz w:val="16"/>
        </w:rPr>
        <w:t>Atlas Core</w:t>
      </w:r>
    </w:p>
    <w:p>
      <w:pPr>
        <w:spacing w:after="0"/>
        <w:ind w:left="317"/>
      </w:pPr>
      <w:r>
        <w:rPr>
          <w:color w:val="475569"/>
          <w:sz w:val="16"/>
        </w:rPr>
        <w:t>Domain modules</w:t>
      </w:r>
    </w:p>
    <w:p>
      <w:pPr>
        <w:spacing w:after="0"/>
        <w:ind w:left="317"/>
      </w:pPr>
      <w:r>
        <w:rPr>
          <w:color w:val="475569"/>
          <w:sz w:val="16"/>
        </w:rPr>
        <w:t>Capability Registry</w:t>
      </w:r>
    </w:p>
    <w:p>
      <w:pPr>
        <w:spacing w:after="0"/>
        <w:ind w:left="317"/>
      </w:pPr>
      <w:r>
        <w:rPr>
          <w:color w:val="475569"/>
          <w:sz w:val="16"/>
        </w:rPr>
        <w:t>Studio Metadata</w:t>
      </w:r>
    </w:p>
    <w:p>
      <w:pPr>
        <w:spacing w:after="0"/>
        <w:ind w:left="317"/>
      </w:pPr>
      <w:r>
        <w:rPr>
          <w:color w:val="475569"/>
          <w:sz w:val="16"/>
        </w:rPr>
        <w:t>Studio Compiler</w:t>
      </w:r>
    </w:p>
    <w:p>
      <w:pPr>
        <w:spacing w:after="0"/>
        <w:ind w:left="317"/>
      </w:pPr>
      <w:r>
        <w:rPr>
          <w:color w:val="475569"/>
          <w:sz w:val="16"/>
        </w:rPr>
        <w:t>Runtime Engines</w:t>
      </w:r>
    </w:p>
    <w:p>
      <w:pPr>
        <w:spacing w:after="0"/>
        <w:ind w:left="317"/>
      </w:pPr>
      <w:r>
        <w:rPr>
          <w:color w:val="475569"/>
          <w:sz w:val="16"/>
        </w:rPr>
        <w:t>Worker and Scheduler</w:t>
      </w:r>
    </w:p>
    <w:p>
      <w:pPr>
        <w:spacing w:after="0"/>
        <w:ind w:left="317"/>
      </w:pPr>
      <w:r>
        <w:rPr>
          <w:color w:val="475569"/>
          <w:sz w:val="16"/>
        </w:rPr>
        <w:t>Observability and Guardian</w:t>
      </w:r>
    </w:p>
    <w:p>
      <w:pPr>
        <w:spacing w:after="0"/>
        <w:ind w:left="317"/>
      </w:pPr>
      <w:r>
        <w:rPr>
          <w:color w:val="475569"/>
          <w:sz w:val="16"/>
        </w:rPr>
        <w:t>4.1 Logical runtime</w:t>
      </w:r>
    </w:p>
    <w:p>
      <w:pPr>
        <w:spacing w:after="20"/>
      </w:pPr>
      <w:r>
        <w:rPr>
          <w:b/>
          <w:color w:val="1E3A5F"/>
          <w:sz w:val="19"/>
        </w:rPr>
        <w:t>5. Capability Registry</w:t>
      </w:r>
    </w:p>
    <w:p>
      <w:pPr>
        <w:spacing w:after="0"/>
        <w:ind w:left="317"/>
      </w:pPr>
      <w:r>
        <w:rPr>
          <w:color w:val="475569"/>
          <w:sz w:val="16"/>
        </w:rPr>
        <w:t>Entity descriptors</w:t>
      </w:r>
    </w:p>
    <w:p>
      <w:pPr>
        <w:spacing w:after="0"/>
        <w:ind w:left="317"/>
      </w:pPr>
      <w:r>
        <w:rPr>
          <w:color w:val="475569"/>
          <w:sz w:val="16"/>
        </w:rPr>
        <w:t>Field descriptors</w:t>
      </w:r>
    </w:p>
    <w:p>
      <w:pPr>
        <w:spacing w:after="0"/>
        <w:ind w:left="317"/>
      </w:pPr>
      <w:r>
        <w:rPr>
          <w:color w:val="475569"/>
          <w:sz w:val="16"/>
        </w:rPr>
        <w:t>Query descriptors</w:t>
      </w:r>
    </w:p>
    <w:p>
      <w:pPr>
        <w:spacing w:after="0"/>
        <w:ind w:left="317"/>
      </w:pPr>
      <w:r>
        <w:rPr>
          <w:color w:val="475569"/>
          <w:sz w:val="16"/>
        </w:rPr>
        <w:t>Command descriptors</w:t>
      </w:r>
    </w:p>
    <w:p>
      <w:pPr>
        <w:spacing w:after="0"/>
        <w:ind w:left="317"/>
      </w:pPr>
      <w:r>
        <w:rPr>
          <w:color w:val="475569"/>
          <w:sz w:val="16"/>
        </w:rPr>
        <w:t>Event descriptors</w:t>
      </w:r>
    </w:p>
    <w:p>
      <w:pPr>
        <w:spacing w:after="0"/>
        <w:ind w:left="317"/>
      </w:pPr>
      <w:r>
        <w:rPr>
          <w:color w:val="475569"/>
          <w:sz w:val="16"/>
        </w:rPr>
        <w:t>Record surfaces</w:t>
      </w:r>
    </w:p>
    <w:p>
      <w:pPr>
        <w:spacing w:after="0"/>
        <w:ind w:left="317"/>
      </w:pPr>
      <w:r>
        <w:rPr>
          <w:color w:val="475569"/>
          <w:sz w:val="16"/>
        </w:rPr>
        <w:t>Decision facts</w:t>
      </w:r>
    </w:p>
    <w:p>
      <w:pPr>
        <w:spacing w:after="0"/>
        <w:ind w:left="317"/>
      </w:pPr>
      <w:r>
        <w:rPr>
          <w:color w:val="475569"/>
          <w:sz w:val="16"/>
        </w:rPr>
        <w:t>Template contexts</w:t>
      </w:r>
    </w:p>
    <w:p>
      <w:pPr>
        <w:spacing w:after="0"/>
        <w:ind w:left="317"/>
      </w:pPr>
      <w:r>
        <w:rPr>
          <w:color w:val="475569"/>
          <w:sz w:val="16"/>
        </w:rPr>
        <w:t>Metrics</w:t>
      </w:r>
    </w:p>
    <w:p>
      <w:pPr>
        <w:spacing w:after="0"/>
        <w:ind w:left="317"/>
      </w:pPr>
      <w:r>
        <w:rPr>
          <w:color w:val="475569"/>
          <w:sz w:val="16"/>
        </w:rPr>
        <w:t>Integration endpoints</w:t>
      </w:r>
    </w:p>
    <w:p>
      <w:pPr>
        <w:spacing w:after="0"/>
        <w:ind w:left="317"/>
      </w:pPr>
      <w:r>
        <w:rPr>
          <w:color w:val="475569"/>
          <w:sz w:val="16"/>
        </w:rPr>
        <w:t>5.11 Module contract shape</w:t>
      </w:r>
    </w:p>
    <w:p>
      <w:pPr>
        <w:spacing w:after="0"/>
        <w:ind w:left="317"/>
      </w:pPr>
      <w:r>
        <w:rPr>
          <w:color w:val="475569"/>
          <w:sz w:val="16"/>
        </w:rPr>
        <w:t>5.12 Compatibility rules</w:t>
      </w:r>
    </w:p>
    <w:p>
      <w:pPr>
        <w:spacing w:after="20"/>
      </w:pPr>
      <w:r>
        <w:rPr>
          <w:b/>
          <w:color w:val="1E3A5F"/>
          <w:sz w:val="19"/>
        </w:rPr>
        <w:t>6. Studio metadata and data architecture</w:t>
      </w:r>
    </w:p>
    <w:p>
      <w:pPr>
        <w:spacing w:after="0"/>
        <w:ind w:left="317"/>
      </w:pPr>
      <w:r>
        <w:rPr>
          <w:color w:val="475569"/>
          <w:sz w:val="16"/>
        </w:rPr>
        <w:t>6.1 Configuration identity</w:t>
      </w:r>
    </w:p>
    <w:p>
      <w:pPr>
        <w:spacing w:after="0"/>
        <w:ind w:left="317"/>
      </w:pPr>
      <w:r>
        <w:rPr>
          <w:color w:val="475569"/>
          <w:sz w:val="16"/>
        </w:rPr>
        <w:t>6.2 Draft concurrency</w:t>
      </w:r>
    </w:p>
    <w:p>
      <w:pPr>
        <w:spacing w:after="0"/>
        <w:ind w:left="317"/>
      </w:pPr>
      <w:r>
        <w:rPr>
          <w:color w:val="475569"/>
          <w:sz w:val="16"/>
        </w:rPr>
        <w:t>6.3 Publication</w:t>
      </w:r>
    </w:p>
    <w:p>
      <w:pPr>
        <w:spacing w:after="0"/>
        <w:ind w:left="317"/>
      </w:pPr>
      <w:r>
        <w:rPr>
          <w:color w:val="475569"/>
          <w:sz w:val="16"/>
        </w:rPr>
        <w:t>6.4 Custom field strategy</w:t>
      </w:r>
    </w:p>
    <w:p>
      <w:pPr>
        <w:spacing w:after="0"/>
        <w:ind w:left="317"/>
      </w:pPr>
      <w:r>
        <w:rPr>
          <w:color w:val="475569"/>
          <w:sz w:val="16"/>
        </w:rPr>
        <w:t>6.5 Field validation</w:t>
      </w:r>
    </w:p>
    <w:p>
      <w:pPr>
        <w:spacing w:after="20"/>
      </w:pPr>
      <w:r>
        <w:rPr>
          <w:b/>
          <w:color w:val="1E3A5F"/>
          <w:sz w:val="19"/>
        </w:rPr>
        <w:t>7. Record types and configuration inheritance</w:t>
      </w:r>
    </w:p>
    <w:p>
      <w:pPr>
        <w:spacing w:after="0"/>
        <w:ind w:left="317"/>
      </w:pPr>
      <w:r>
        <w:rPr>
          <w:color w:val="475569"/>
          <w:sz w:val="16"/>
        </w:rPr>
        <w:t>7.1 Inheritance model</w:t>
      </w:r>
    </w:p>
    <w:p>
      <w:pPr>
        <w:spacing w:after="0"/>
        <w:ind w:left="317"/>
      </w:pPr>
      <w:r>
        <w:rPr>
          <w:color w:val="475569"/>
          <w:sz w:val="16"/>
        </w:rPr>
        <w:t>7.2 Conflict rule</w:t>
      </w:r>
    </w:p>
    <w:p>
      <w:pPr>
        <w:spacing w:after="20"/>
      </w:pPr>
      <w:r>
        <w:rPr>
          <w:b/>
          <w:color w:val="1E3A5F"/>
          <w:sz w:val="19"/>
        </w:rPr>
        <w:t>8. Page Studio</w:t>
      </w:r>
    </w:p>
    <w:p>
      <w:pPr>
        <w:spacing w:after="0"/>
        <w:ind w:left="317"/>
      </w:pPr>
      <w:r>
        <w:rPr>
          <w:color w:val="475569"/>
          <w:sz w:val="16"/>
        </w:rPr>
        <w:t>8.1 Supported component families</w:t>
      </w:r>
    </w:p>
    <w:p>
      <w:pPr>
        <w:spacing w:after="0"/>
        <w:ind w:left="317"/>
      </w:pPr>
      <w:r>
        <w:rPr>
          <w:color w:val="475569"/>
          <w:sz w:val="16"/>
        </w:rPr>
        <w:t>8.2 Visibility</w:t>
      </w:r>
    </w:p>
    <w:p>
      <w:pPr>
        <w:spacing w:after="0"/>
        <w:ind w:left="317"/>
      </w:pPr>
      <w:r>
        <w:rPr>
          <w:color w:val="475569"/>
          <w:sz w:val="16"/>
        </w:rPr>
        <w:t>8.3 Actions</w:t>
      </w:r>
    </w:p>
    <w:p>
      <w:pPr>
        <w:spacing w:after="20"/>
      </w:pPr>
      <w:r>
        <w:rPr>
          <w:b/>
          <w:color w:val="1E3A5F"/>
          <w:sz w:val="19"/>
        </w:rPr>
        <w:t>9. Process, Flow and Decision engines</w:t>
      </w:r>
    </w:p>
    <w:p>
      <w:pPr>
        <w:spacing w:after="0"/>
        <w:ind w:left="317"/>
      </w:pPr>
      <w:r>
        <w:rPr>
          <w:color w:val="475569"/>
          <w:sz w:val="16"/>
        </w:rPr>
        <w:t>9.1 Process rules</w:t>
      </w:r>
    </w:p>
    <w:p>
      <w:pPr>
        <w:spacing w:after="0"/>
        <w:ind w:left="317"/>
      </w:pPr>
      <w:r>
        <w:rPr>
          <w:color w:val="475569"/>
          <w:sz w:val="16"/>
        </w:rPr>
        <w:t>9.2 Flow node catalogue</w:t>
      </w:r>
    </w:p>
    <w:p>
      <w:pPr>
        <w:spacing w:after="0"/>
        <w:ind w:left="317"/>
      </w:pPr>
      <w:r>
        <w:rPr>
          <w:color w:val="475569"/>
          <w:sz w:val="16"/>
        </w:rPr>
        <w:t>9.3 Durable execution model</w:t>
      </w:r>
    </w:p>
    <w:p>
      <w:pPr>
        <w:spacing w:after="0"/>
        <w:ind w:left="317"/>
      </w:pPr>
      <w:r>
        <w:rPr>
          <w:color w:val="475569"/>
          <w:sz w:val="16"/>
        </w:rPr>
        <w:t>9.4 Correlation and causality</w:t>
      </w:r>
    </w:p>
    <w:p>
      <w:pPr>
        <w:spacing w:after="0"/>
        <w:ind w:left="317"/>
      </w:pPr>
      <w:r>
        <w:rPr>
          <w:color w:val="475569"/>
          <w:sz w:val="16"/>
        </w:rPr>
        <w:t>9.5 Parallelism</w:t>
      </w:r>
    </w:p>
    <w:p>
      <w:pPr>
        <w:spacing w:after="0"/>
        <w:ind w:left="317"/>
      </w:pPr>
      <w:r>
        <w:rPr>
          <w:color w:val="475569"/>
          <w:sz w:val="16"/>
        </w:rPr>
        <w:t>9.6 Compensation</w:t>
      </w:r>
    </w:p>
    <w:p>
      <w:pPr>
        <w:spacing w:after="20"/>
      </w:pPr>
      <w:r>
        <w:rPr>
          <w:b/>
          <w:color w:val="1E3A5F"/>
          <w:sz w:val="19"/>
        </w:rPr>
        <w:t>10. Decision Studio</w:t>
      </w:r>
    </w:p>
    <w:p>
      <w:pPr>
        <w:spacing w:after="0"/>
        <w:ind w:left="317"/>
      </w:pPr>
      <w:r>
        <w:rPr>
          <w:color w:val="475569"/>
          <w:sz w:val="16"/>
        </w:rPr>
        <w:t>10.1 Decision table example</w:t>
      </w:r>
    </w:p>
    <w:p>
      <w:pPr>
        <w:spacing w:after="0"/>
        <w:ind w:left="317"/>
      </w:pPr>
      <w:r>
        <w:rPr>
          <w:color w:val="475569"/>
          <w:sz w:val="16"/>
        </w:rPr>
        <w:t>10.2 Testing</w:t>
      </w:r>
    </w:p>
    <w:p>
      <w:pPr>
        <w:spacing w:after="20"/>
      </w:pPr>
      <w:r>
        <w:rPr>
          <w:b/>
          <w:color w:val="1E3A5F"/>
          <w:sz w:val="19"/>
        </w:rPr>
        <w:t>11. Shared approvals</w:t>
      </w:r>
    </w:p>
    <w:p>
      <w:pPr>
        <w:spacing w:after="0"/>
        <w:ind w:left="317"/>
      </w:pPr>
      <w:r>
        <w:rPr>
          <w:color w:val="475569"/>
          <w:sz w:val="16"/>
        </w:rPr>
        <w:t>11.1 Approval race conditions</w:t>
      </w:r>
    </w:p>
    <w:p>
      <w:pPr>
        <w:spacing w:after="0"/>
        <w:ind w:left="317"/>
      </w:pPr>
      <w:r>
        <w:rPr>
          <w:color w:val="475569"/>
          <w:sz w:val="16"/>
        </w:rPr>
        <w:t>11.2 Delegation and absence</w:t>
      </w:r>
    </w:p>
    <w:p>
      <w:pPr>
        <w:spacing w:after="20"/>
      </w:pPr>
      <w:r>
        <w:rPr>
          <w:b/>
          <w:color w:val="1E3A5F"/>
          <w:sz w:val="19"/>
        </w:rPr>
        <w:t>12. Events, outbox and event schemas</w:t>
      </w:r>
    </w:p>
    <w:p>
      <w:pPr>
        <w:spacing w:after="0"/>
        <w:ind w:left="317"/>
      </w:pPr>
      <w:r>
        <w:rPr>
          <w:color w:val="475569"/>
          <w:sz w:val="16"/>
        </w:rPr>
        <w:t>12.1 Delivery semantics</w:t>
      </w:r>
    </w:p>
    <w:p>
      <w:pPr>
        <w:spacing w:after="0"/>
        <w:ind w:left="317"/>
      </w:pPr>
      <w:r>
        <w:rPr>
          <w:color w:val="475569"/>
          <w:sz w:val="16"/>
        </w:rPr>
        <w:t>12.2 Schema evolution</w:t>
      </w:r>
    </w:p>
    <w:p>
      <w:pPr>
        <w:spacing w:after="20"/>
      </w:pPr>
      <w:r>
        <w:rPr>
          <w:b/>
          <w:color w:val="1E3A5F"/>
          <w:sz w:val="19"/>
        </w:rPr>
        <w:t>13. Integration architecture</w:t>
      </w:r>
    </w:p>
    <w:p>
      <w:pPr>
        <w:spacing w:after="0"/>
        <w:ind w:left="317"/>
      </w:pPr>
      <w:r>
        <w:rPr>
          <w:color w:val="475569"/>
          <w:sz w:val="16"/>
        </w:rPr>
        <w:t>13.1 Connector operation states</w:t>
      </w:r>
    </w:p>
    <w:p>
      <w:pPr>
        <w:spacing w:after="0"/>
        <w:ind w:left="317"/>
      </w:pPr>
      <w:r>
        <w:rPr>
          <w:color w:val="475569"/>
          <w:sz w:val="16"/>
        </w:rPr>
        <w:t>13.2 Webhooks</w:t>
      </w:r>
    </w:p>
    <w:p>
      <w:pPr>
        <w:spacing w:after="0"/>
        <w:ind w:left="317"/>
      </w:pPr>
      <w:r>
        <w:rPr>
          <w:color w:val="475569"/>
          <w:sz w:val="16"/>
        </w:rPr>
        <w:t>13.3 Import/export</w:t>
      </w:r>
    </w:p>
    <w:p>
      <w:pPr>
        <w:spacing w:after="20"/>
      </w:pPr>
      <w:r>
        <w:rPr>
          <w:b/>
          <w:color w:val="1E3A5F"/>
          <w:sz w:val="19"/>
        </w:rPr>
        <w:t>14. Security and governance</w:t>
      </w:r>
    </w:p>
    <w:p>
      <w:pPr>
        <w:spacing w:after="0"/>
        <w:ind w:left="317"/>
      </w:pPr>
      <w:r>
        <w:rPr>
          <w:color w:val="475569"/>
          <w:sz w:val="16"/>
        </w:rPr>
        <w:t>14.1 Suggested Studio capabilities</w:t>
      </w:r>
    </w:p>
    <w:p>
      <w:pPr>
        <w:spacing w:after="0"/>
        <w:ind w:left="317"/>
      </w:pPr>
      <w:r>
        <w:rPr>
          <w:color w:val="475569"/>
          <w:sz w:val="16"/>
        </w:rPr>
        <w:t>14.2 Publish risk classes</w:t>
      </w:r>
    </w:p>
    <w:p>
      <w:pPr>
        <w:spacing w:after="0"/>
        <w:ind w:left="317"/>
      </w:pPr>
      <w:r>
        <w:rPr>
          <w:color w:val="475569"/>
          <w:sz w:val="16"/>
        </w:rPr>
        <w:t>14.3 Data loss prevention</w:t>
      </w:r>
    </w:p>
    <w:p>
      <w:pPr>
        <w:spacing w:after="20"/>
      </w:pPr>
      <w:r>
        <w:rPr>
          <w:b/>
          <w:color w:val="1E3A5F"/>
          <w:sz w:val="19"/>
        </w:rPr>
        <w:t>15. Observability, Operations and Guardian</w:t>
      </w:r>
    </w:p>
    <w:p>
      <w:pPr>
        <w:spacing w:after="0"/>
        <w:ind w:left="317"/>
      </w:pPr>
      <w:r>
        <w:rPr>
          <w:color w:val="475569"/>
          <w:sz w:val="16"/>
        </w:rPr>
        <w:t>15.1 Operational dashboards</w:t>
      </w:r>
    </w:p>
    <w:p>
      <w:pPr>
        <w:spacing w:after="0"/>
        <w:ind w:left="317"/>
      </w:pPr>
      <w:r>
        <w:rPr>
          <w:color w:val="475569"/>
          <w:sz w:val="16"/>
        </w:rPr>
        <w:t>15.2 “Why did Atlas do that?”</w:t>
      </w:r>
    </w:p>
    <w:p>
      <w:pPr>
        <w:spacing w:after="20"/>
      </w:pPr>
      <w:r>
        <w:rPr>
          <w:b/>
          <w:color w:val="1E3A5F"/>
          <w:sz w:val="19"/>
        </w:rPr>
        <w:t>16. Packages, environments and upgrades</w:t>
      </w:r>
    </w:p>
    <w:p>
      <w:pPr>
        <w:spacing w:after="0"/>
        <w:ind w:left="317"/>
      </w:pPr>
      <w:r>
        <w:rPr>
          <w:color w:val="475569"/>
          <w:sz w:val="16"/>
        </w:rPr>
        <w:t>16.1 Environment model</w:t>
      </w:r>
    </w:p>
    <w:p>
      <w:pPr>
        <w:spacing w:after="0"/>
        <w:ind w:left="317"/>
      </w:pPr>
      <w:r>
        <w:rPr>
          <w:color w:val="475569"/>
          <w:sz w:val="16"/>
        </w:rPr>
        <w:t>16.2 Upgrade conflict example</w:t>
      </w:r>
    </w:p>
    <w:p>
      <w:pPr>
        <w:spacing w:after="20"/>
      </w:pPr>
      <w:r>
        <w:rPr>
          <w:b/>
          <w:color w:val="1E3A5F"/>
          <w:sz w:val="19"/>
        </w:rPr>
        <w:t>17. Performance and scale</w:t>
      </w:r>
    </w:p>
    <w:p>
      <w:pPr>
        <w:spacing w:after="0"/>
        <w:ind w:left="317"/>
      </w:pPr>
      <w:r>
        <w:rPr>
          <w:color w:val="475569"/>
          <w:sz w:val="16"/>
        </w:rPr>
        <w:t>17.1 Runtime budgets</w:t>
      </w:r>
    </w:p>
    <w:p>
      <w:pPr>
        <w:spacing w:after="0"/>
        <w:ind w:left="317"/>
      </w:pPr>
      <w:r>
        <w:rPr>
          <w:color w:val="475569"/>
          <w:sz w:val="16"/>
        </w:rPr>
        <w:t>17.2 Database safety</w:t>
      </w:r>
    </w:p>
    <w:p>
      <w:pPr>
        <w:spacing w:after="20"/>
      </w:pPr>
      <w:r>
        <w:rPr>
          <w:b/>
          <w:color w:val="1E3A5F"/>
          <w:sz w:val="19"/>
        </w:rPr>
        <w:t>18. Studio user experience</w:t>
      </w:r>
    </w:p>
    <w:p>
      <w:pPr>
        <w:spacing w:after="0"/>
        <w:ind w:left="317"/>
      </w:pPr>
      <w:r>
        <w:rPr>
          <w:color w:val="475569"/>
          <w:sz w:val="16"/>
        </w:rPr>
        <w:t>18.1 Main navigation</w:t>
      </w:r>
    </w:p>
    <w:p>
      <w:pPr>
        <w:spacing w:after="0"/>
        <w:ind w:left="317"/>
      </w:pPr>
      <w:r>
        <w:rPr>
          <w:color w:val="475569"/>
          <w:sz w:val="16"/>
        </w:rPr>
        <w:t>18.2 Builder quality rules</w:t>
      </w:r>
    </w:p>
    <w:p>
      <w:pPr>
        <w:spacing w:after="20"/>
      </w:pPr>
      <w:r>
        <w:rPr>
          <w:b/>
          <w:color w:val="1E3A5F"/>
          <w:sz w:val="19"/>
        </w:rPr>
        <w:t>19. API and service boundaries</w:t>
      </w:r>
    </w:p>
    <w:p>
      <w:pPr>
        <w:spacing w:after="0"/>
        <w:ind w:left="317"/>
      </w:pPr>
      <w:r>
        <w:rPr>
          <w:color w:val="475569"/>
          <w:sz w:val="16"/>
        </w:rPr>
        <w:t>19.1 No generic table API</w:t>
      </w:r>
    </w:p>
    <w:p>
      <w:pPr>
        <w:spacing w:after="0"/>
        <w:ind w:left="317"/>
      </w:pPr>
      <w:r>
        <w:rPr>
          <w:color w:val="475569"/>
          <w:sz w:val="16"/>
        </w:rPr>
        <w:t>19.2 Idempotency</w:t>
      </w:r>
    </w:p>
    <w:p>
      <w:pPr>
        <w:spacing w:after="20"/>
      </w:pPr>
      <w:r>
        <w:rPr>
          <w:b/>
          <w:color w:val="1E3A5F"/>
          <w:sz w:val="19"/>
        </w:rPr>
        <w:t>20. Module integration specification</w:t>
      </w:r>
    </w:p>
    <w:p>
      <w:pPr>
        <w:spacing w:after="0"/>
        <w:ind w:left="317"/>
      </w:pPr>
      <w:r>
        <w:rPr>
          <w:color w:val="475569"/>
          <w:sz w:val="16"/>
        </w:rPr>
        <w:t>20.1 Customer Master (Core)</w:t>
      </w:r>
    </w:p>
    <w:p>
      <w:pPr>
        <w:spacing w:after="0"/>
        <w:ind w:left="317"/>
      </w:pPr>
      <w:r>
        <w:rPr>
          <w:color w:val="475569"/>
          <w:sz w:val="16"/>
        </w:rPr>
        <w:t>20.2 CRM</w:t>
      </w:r>
    </w:p>
    <w:p>
      <w:pPr>
        <w:spacing w:after="0"/>
        <w:ind w:left="317"/>
      </w:pPr>
      <w:r>
        <w:rPr>
          <w:color w:val="475569"/>
          <w:sz w:val="16"/>
        </w:rPr>
        <w:t>20.3 Sales</w:t>
      </w:r>
    </w:p>
    <w:p>
      <w:pPr>
        <w:spacing w:after="0"/>
        <w:ind w:left="317"/>
      </w:pPr>
      <w:r>
        <w:rPr>
          <w:color w:val="475569"/>
          <w:sz w:val="16"/>
        </w:rPr>
        <w:t>20.4 Products</w:t>
      </w:r>
    </w:p>
    <w:p>
      <w:pPr>
        <w:spacing w:after="0"/>
        <w:ind w:left="317"/>
      </w:pPr>
      <w:r>
        <w:rPr>
          <w:color w:val="475569"/>
          <w:sz w:val="16"/>
        </w:rPr>
        <w:t>20.5 Pricing</w:t>
      </w:r>
    </w:p>
    <w:p>
      <w:pPr>
        <w:spacing w:after="0"/>
        <w:ind w:left="317"/>
      </w:pPr>
      <w:r>
        <w:rPr>
          <w:color w:val="475569"/>
          <w:sz w:val="16"/>
        </w:rPr>
        <w:t>20.6 Inventory / Stock</w:t>
      </w:r>
    </w:p>
    <w:p>
      <w:pPr>
        <w:spacing w:after="0"/>
        <w:ind w:left="317"/>
      </w:pPr>
      <w:r>
        <w:rPr>
          <w:color w:val="475569"/>
          <w:sz w:val="16"/>
        </w:rPr>
        <w:t>20.7 Production Planning</w:t>
      </w:r>
    </w:p>
    <w:p>
      <w:pPr>
        <w:spacing w:after="0"/>
        <w:ind w:left="317"/>
      </w:pPr>
      <w:r>
        <w:rPr>
          <w:color w:val="475569"/>
          <w:sz w:val="16"/>
        </w:rPr>
        <w:t>20.8 Plan</w:t>
      </w:r>
    </w:p>
    <w:p>
      <w:pPr>
        <w:spacing w:after="0"/>
        <w:ind w:left="317"/>
      </w:pPr>
      <w:r>
        <w:rPr>
          <w:color w:val="475569"/>
          <w:sz w:val="16"/>
        </w:rPr>
        <w:t>20.9 S&amp;OP</w:t>
      </w:r>
    </w:p>
    <w:p>
      <w:pPr>
        <w:spacing w:after="0"/>
        <w:ind w:left="317"/>
      </w:pPr>
      <w:r>
        <w:rPr>
          <w:color w:val="475569"/>
          <w:sz w:val="16"/>
        </w:rPr>
        <w:t>20.10 Manufacturing</w:t>
      </w:r>
    </w:p>
    <w:p>
      <w:pPr>
        <w:spacing w:after="0"/>
        <w:ind w:left="317"/>
      </w:pPr>
      <w:r>
        <w:rPr>
          <w:color w:val="475569"/>
          <w:sz w:val="16"/>
        </w:rPr>
        <w:t>20.11 Engineering / PLM</w:t>
      </w:r>
    </w:p>
    <w:p>
      <w:pPr>
        <w:spacing w:after="0"/>
        <w:ind w:left="317"/>
      </w:pPr>
      <w:r>
        <w:rPr>
          <w:color w:val="475569"/>
          <w:sz w:val="16"/>
        </w:rPr>
        <w:t>20.12 Quality</w:t>
      </w:r>
    </w:p>
    <w:p>
      <w:pPr>
        <w:spacing w:after="0"/>
        <w:ind w:left="317"/>
      </w:pPr>
      <w:r>
        <w:rPr>
          <w:color w:val="475569"/>
          <w:sz w:val="16"/>
        </w:rPr>
        <w:t>20.13 Finance</w:t>
      </w:r>
    </w:p>
    <w:p>
      <w:pPr>
        <w:spacing w:after="0"/>
        <w:ind w:left="317"/>
      </w:pPr>
      <w:r>
        <w:rPr>
          <w:color w:val="475569"/>
          <w:sz w:val="16"/>
        </w:rPr>
        <w:t>20.14 Procurement / Purchasing within Finance</w:t>
      </w:r>
    </w:p>
    <w:p>
      <w:pPr>
        <w:spacing w:after="0"/>
        <w:ind w:left="317"/>
      </w:pPr>
      <w:r>
        <w:rPr>
          <w:color w:val="475569"/>
          <w:sz w:val="16"/>
        </w:rPr>
        <w:t>20.15 Logistics</w:t>
      </w:r>
    </w:p>
    <w:p>
      <w:pPr>
        <w:spacing w:after="0"/>
        <w:ind w:left="317"/>
      </w:pPr>
      <w:r>
        <w:rPr>
          <w:color w:val="475569"/>
          <w:sz w:val="16"/>
        </w:rPr>
        <w:t>20.16 Customer Service</w:t>
      </w:r>
    </w:p>
    <w:p>
      <w:pPr>
        <w:spacing w:after="0"/>
        <w:ind w:left="317"/>
      </w:pPr>
      <w:r>
        <w:rPr>
          <w:color w:val="475569"/>
          <w:sz w:val="16"/>
        </w:rPr>
        <w:t>20.17 Tickets</w:t>
      </w:r>
    </w:p>
    <w:p>
      <w:pPr>
        <w:spacing w:after="0"/>
        <w:ind w:left="317"/>
      </w:pPr>
      <w:r>
        <w:rPr>
          <w:color w:val="475569"/>
          <w:sz w:val="16"/>
        </w:rPr>
        <w:t>20.18 CSAT</w:t>
      </w:r>
    </w:p>
    <w:p>
      <w:pPr>
        <w:spacing w:after="0"/>
        <w:ind w:left="317"/>
      </w:pPr>
      <w:r>
        <w:rPr>
          <w:color w:val="475569"/>
          <w:sz w:val="16"/>
        </w:rPr>
        <w:t>20.19 Projects</w:t>
      </w:r>
    </w:p>
    <w:p>
      <w:pPr>
        <w:spacing w:after="0"/>
        <w:ind w:left="317"/>
      </w:pPr>
      <w:r>
        <w:rPr>
          <w:color w:val="475569"/>
          <w:sz w:val="16"/>
        </w:rPr>
        <w:t>20.20 Teams / Team Planner</w:t>
      </w:r>
    </w:p>
    <w:p>
      <w:pPr>
        <w:spacing w:after="0"/>
        <w:ind w:left="317"/>
      </w:pPr>
      <w:r>
        <w:rPr>
          <w:color w:val="475569"/>
          <w:sz w:val="16"/>
        </w:rPr>
        <w:t>20.21 Meetings</w:t>
      </w:r>
    </w:p>
    <w:p>
      <w:pPr>
        <w:spacing w:after="0"/>
        <w:ind w:left="317"/>
      </w:pPr>
      <w:r>
        <w:rPr>
          <w:color w:val="475569"/>
          <w:sz w:val="16"/>
        </w:rPr>
        <w:t>20.22 Marketing</w:t>
      </w:r>
    </w:p>
    <w:p>
      <w:pPr>
        <w:spacing w:after="0"/>
        <w:ind w:left="317"/>
      </w:pPr>
      <w:r>
        <w:rPr>
          <w:color w:val="475569"/>
          <w:sz w:val="16"/>
        </w:rPr>
        <w:t>20.23 People / HR</w:t>
      </w:r>
    </w:p>
    <w:p>
      <w:pPr>
        <w:spacing w:after="0"/>
        <w:ind w:left="317"/>
      </w:pPr>
      <w:r>
        <w:rPr>
          <w:color w:val="475569"/>
          <w:sz w:val="16"/>
        </w:rPr>
        <w:t>20.24 Payroll</w:t>
      </w:r>
    </w:p>
    <w:p>
      <w:pPr>
        <w:spacing w:after="0"/>
        <w:ind w:left="317"/>
      </w:pPr>
      <w:r>
        <w:rPr>
          <w:color w:val="475569"/>
          <w:sz w:val="16"/>
        </w:rPr>
        <w:t>20.25 Staff Scheduling</w:t>
      </w:r>
    </w:p>
    <w:p>
      <w:pPr>
        <w:spacing w:after="0"/>
        <w:ind w:left="317"/>
      </w:pPr>
      <w:r>
        <w:rPr>
          <w:color w:val="475569"/>
          <w:sz w:val="16"/>
        </w:rPr>
        <w:t>20.26 Safety</w:t>
      </w:r>
    </w:p>
    <w:p>
      <w:pPr>
        <w:spacing w:after="0"/>
        <w:ind w:left="317"/>
      </w:pPr>
      <w:r>
        <w:rPr>
          <w:color w:val="475569"/>
          <w:sz w:val="16"/>
        </w:rPr>
        <w:t>20.27 Maintenance</w:t>
      </w:r>
    </w:p>
    <w:p>
      <w:pPr>
        <w:spacing w:after="0"/>
        <w:ind w:left="317"/>
      </w:pPr>
      <w:r>
        <w:rPr>
          <w:color w:val="475569"/>
          <w:sz w:val="16"/>
        </w:rPr>
        <w:t>20.28 Fleet</w:t>
      </w:r>
    </w:p>
    <w:p>
      <w:pPr>
        <w:spacing w:after="0"/>
        <w:ind w:left="317"/>
      </w:pPr>
      <w:r>
        <w:rPr>
          <w:color w:val="475569"/>
          <w:sz w:val="16"/>
        </w:rPr>
        <w:t>20.29 Field Service</w:t>
      </w:r>
    </w:p>
    <w:p>
      <w:pPr>
        <w:spacing w:after="0"/>
        <w:ind w:left="317"/>
      </w:pPr>
      <w:r>
        <w:rPr>
          <w:color w:val="475569"/>
          <w:sz w:val="16"/>
        </w:rPr>
        <w:t>20.30 Analytics</w:t>
      </w:r>
    </w:p>
    <w:p>
      <w:pPr>
        <w:spacing w:after="0"/>
        <w:ind w:left="317"/>
      </w:pPr>
      <w:r>
        <w:rPr>
          <w:color w:val="475569"/>
          <w:sz w:val="16"/>
        </w:rPr>
        <w:t>20.31 KPIs / Goals</w:t>
      </w:r>
    </w:p>
    <w:p>
      <w:pPr>
        <w:spacing w:after="0"/>
        <w:ind w:left="317"/>
      </w:pPr>
      <w:r>
        <w:rPr>
          <w:color w:val="475569"/>
          <w:sz w:val="16"/>
        </w:rPr>
        <w:t>20.32 Templates</w:t>
      </w:r>
    </w:p>
    <w:p>
      <w:pPr>
        <w:spacing w:after="0"/>
        <w:ind w:left="317"/>
      </w:pPr>
      <w:r>
        <w:rPr>
          <w:color w:val="475569"/>
          <w:sz w:val="16"/>
        </w:rPr>
        <w:t>20.33 Automations</w:t>
      </w:r>
    </w:p>
    <w:p>
      <w:pPr>
        <w:spacing w:after="0"/>
        <w:ind w:left="317"/>
      </w:pPr>
      <w:r>
        <w:rPr>
          <w:color w:val="475569"/>
          <w:sz w:val="16"/>
        </w:rPr>
        <w:t>20.34 Audit</w:t>
      </w:r>
    </w:p>
    <w:p>
      <w:pPr>
        <w:spacing w:after="0"/>
        <w:ind w:left="317"/>
      </w:pPr>
      <w:r>
        <w:rPr>
          <w:color w:val="475569"/>
          <w:sz w:val="16"/>
        </w:rPr>
        <w:t>20.35 Atlas Admin</w:t>
      </w:r>
    </w:p>
    <w:p>
      <w:pPr>
        <w:spacing w:after="0"/>
        <w:ind w:left="317"/>
      </w:pPr>
      <w:r>
        <w:rPr>
          <w:color w:val="475569"/>
          <w:sz w:val="16"/>
        </w:rPr>
        <w:t>20.36 Guardian</w:t>
      </w:r>
    </w:p>
    <w:p>
      <w:pPr>
        <w:spacing w:after="20"/>
      </w:pPr>
      <w:r>
        <w:rPr>
          <w:b/>
          <w:color w:val="1E3A5F"/>
          <w:sz w:val="19"/>
        </w:rPr>
        <w:t>21. Cross-module reference journeys</w:t>
      </w:r>
    </w:p>
    <w:p>
      <w:pPr>
        <w:spacing w:after="0"/>
        <w:ind w:left="317"/>
      </w:pPr>
      <w:r>
        <w:rPr>
          <w:color w:val="475569"/>
          <w:sz w:val="16"/>
        </w:rPr>
        <w:t>Order-to-cash exception</w:t>
      </w:r>
    </w:p>
    <w:p>
      <w:pPr>
        <w:spacing w:after="0"/>
        <w:ind w:left="317"/>
      </w:pPr>
      <w:r>
        <w:rPr>
          <w:color w:val="475569"/>
          <w:sz w:val="16"/>
        </w:rPr>
        <w:t>Complaint to replacement and credit</w:t>
      </w:r>
    </w:p>
    <w:p>
      <w:pPr>
        <w:spacing w:after="0"/>
        <w:ind w:left="317"/>
      </w:pPr>
      <w:r>
        <w:rPr>
          <w:color w:val="475569"/>
          <w:sz w:val="16"/>
        </w:rPr>
        <w:t>Engineering change to production</w:t>
      </w:r>
    </w:p>
    <w:p>
      <w:pPr>
        <w:spacing w:after="0"/>
        <w:ind w:left="317"/>
      </w:pPr>
      <w:r>
        <w:rPr>
          <w:color w:val="475569"/>
          <w:sz w:val="16"/>
        </w:rPr>
        <w:t>Employee onboarding</w:t>
      </w:r>
    </w:p>
    <w:p>
      <w:pPr>
        <w:spacing w:after="0"/>
        <w:ind w:left="317"/>
      </w:pPr>
      <w:r>
        <w:rPr>
          <w:color w:val="475569"/>
          <w:sz w:val="16"/>
        </w:rPr>
        <w:t>Predictive maintenance response</w:t>
      </w:r>
    </w:p>
    <w:p>
      <w:pPr>
        <w:spacing w:after="20"/>
      </w:pPr>
      <w:r>
        <w:rPr>
          <w:b/>
          <w:color w:val="1E3A5F"/>
          <w:sz w:val="19"/>
        </w:rPr>
        <w:t>22. Configuration validation and compiler</w:t>
      </w:r>
    </w:p>
    <w:p>
      <w:pPr>
        <w:spacing w:after="0"/>
        <w:ind w:left="317"/>
      </w:pPr>
      <w:r>
        <w:rPr>
          <w:color w:val="475569"/>
          <w:sz w:val="16"/>
        </w:rPr>
        <w:t>22.1 Validation pipeline</w:t>
      </w:r>
    </w:p>
    <w:p>
      <w:pPr>
        <w:spacing w:after="0"/>
        <w:ind w:left="317"/>
      </w:pPr>
      <w:r>
        <w:rPr>
          <w:color w:val="475569"/>
          <w:sz w:val="16"/>
        </w:rPr>
        <w:t>22.2 Severity</w:t>
      </w:r>
    </w:p>
    <w:p>
      <w:pPr>
        <w:spacing w:after="20"/>
      </w:pPr>
      <w:r>
        <w:rPr>
          <w:b/>
          <w:color w:val="1E3A5F"/>
          <w:sz w:val="19"/>
        </w:rPr>
        <w:t>23. Business state machines and concurrency</w:t>
      </w:r>
    </w:p>
    <w:p>
      <w:pPr>
        <w:spacing w:after="0"/>
        <w:ind w:left="317"/>
      </w:pPr>
      <w:r>
        <w:rPr>
          <w:color w:val="475569"/>
          <w:sz w:val="16"/>
        </w:rPr>
        <w:t>23.1 Long-running processes</w:t>
      </w:r>
    </w:p>
    <w:p>
      <w:pPr>
        <w:spacing w:after="20"/>
      </w:pPr>
      <w:r>
        <w:rPr>
          <w:b/>
          <w:color w:val="1E3A5F"/>
          <w:sz w:val="19"/>
        </w:rPr>
        <w:t>24. Custom field migrations and record evolution</w:t>
      </w:r>
    </w:p>
    <w:p>
      <w:pPr>
        <w:spacing w:after="0"/>
        <w:ind w:left="317"/>
      </w:pPr>
      <w:r>
        <w:rPr>
          <w:color w:val="475569"/>
          <w:sz w:val="16"/>
        </w:rPr>
        <w:t>24.1 Safe conversions</w:t>
      </w:r>
    </w:p>
    <w:p>
      <w:pPr>
        <w:spacing w:after="20"/>
      </w:pPr>
      <w:r>
        <w:rPr>
          <w:b/>
          <w:color w:val="1E3A5F"/>
          <w:sz w:val="19"/>
        </w:rPr>
        <w:t>25. Testing strategy</w:t>
      </w:r>
    </w:p>
    <w:p>
      <w:pPr>
        <w:spacing w:after="0"/>
        <w:ind w:left="317"/>
      </w:pPr>
      <w:r>
        <w:rPr>
          <w:color w:val="475569"/>
          <w:sz w:val="16"/>
        </w:rPr>
        <w:t>25.1 Contract tests required from modules</w:t>
      </w:r>
    </w:p>
    <w:p>
      <w:pPr>
        <w:spacing w:after="0"/>
        <w:ind w:left="317"/>
      </w:pPr>
      <w:r>
        <w:rPr>
          <w:color w:val="475569"/>
          <w:sz w:val="16"/>
        </w:rPr>
        <w:t>25.2 Studio property/invariant tests</w:t>
      </w:r>
    </w:p>
    <w:p>
      <w:pPr>
        <w:spacing w:after="20"/>
      </w:pPr>
      <w:r>
        <w:rPr>
          <w:b/>
          <w:color w:val="1E3A5F"/>
          <w:sz w:val="19"/>
        </w:rPr>
        <w:t>26. Release, deployment and recovery</w:t>
      </w:r>
    </w:p>
    <w:p>
      <w:pPr>
        <w:spacing w:after="0"/>
        <w:ind w:left="317"/>
      </w:pPr>
      <w:r>
        <w:rPr>
          <w:color w:val="475569"/>
          <w:sz w:val="16"/>
        </w:rPr>
        <w:t>26.1 Backups</w:t>
      </w:r>
    </w:p>
    <w:p>
      <w:pPr>
        <w:spacing w:after="0"/>
        <w:ind w:left="317"/>
      </w:pPr>
      <w:r>
        <w:rPr>
          <w:color w:val="475569"/>
          <w:sz w:val="16"/>
        </w:rPr>
        <w:t>26.2 Disaster recovery rule</w:t>
      </w:r>
    </w:p>
    <w:p>
      <w:pPr>
        <w:spacing w:after="20"/>
      </w:pPr>
      <w:r>
        <w:rPr>
          <w:b/>
          <w:color w:val="1E3A5F"/>
          <w:sz w:val="19"/>
        </w:rPr>
        <w:t>27. Implementation sequence</w:t>
      </w:r>
    </w:p>
    <w:p>
      <w:pPr>
        <w:spacing w:after="0"/>
        <w:ind w:left="317"/>
      </w:pPr>
      <w:r>
        <w:rPr>
          <w:color w:val="475569"/>
          <w:sz w:val="16"/>
        </w:rPr>
        <w:t>27.1 First vertical slice</w:t>
      </w:r>
    </w:p>
    <w:p>
      <w:pPr>
        <w:spacing w:after="0"/>
        <w:ind w:left="317"/>
      </w:pPr>
      <w:r>
        <w:rPr>
          <w:color w:val="475569"/>
          <w:sz w:val="16"/>
        </w:rPr>
        <w:t>27.2 Do not start with</w:t>
      </w:r>
    </w:p>
    <w:p>
      <w:pPr>
        <w:spacing w:after="20"/>
      </w:pPr>
      <w:r>
        <w:rPr>
          <w:b/>
          <w:color w:val="1E3A5F"/>
          <w:sz w:val="19"/>
        </w:rPr>
        <w:t>28. Codex implementation brief</w:t>
      </w:r>
    </w:p>
    <w:p>
      <w:pPr>
        <w:spacing w:after="0"/>
        <w:ind w:left="317"/>
      </w:pPr>
      <w:r>
        <w:rPr>
          <w:color w:val="475569"/>
          <w:sz w:val="16"/>
        </w:rPr>
        <w:t>28.1 Expected repository shape</w:t>
      </w:r>
    </w:p>
    <w:p>
      <w:pPr>
        <w:spacing w:after="0"/>
        <w:ind w:left="317"/>
      </w:pPr>
      <w:r>
        <w:rPr>
          <w:color w:val="475569"/>
          <w:sz w:val="16"/>
        </w:rPr>
        <w:t>28.2 Architectural lint rules</w:t>
      </w:r>
    </w:p>
    <w:p>
      <w:pPr>
        <w:spacing w:after="20"/>
      </w:pPr>
      <w:r>
        <w:rPr>
          <w:b/>
          <w:color w:val="1E3A5F"/>
          <w:sz w:val="19"/>
        </w:rPr>
        <w:t>29. Acceptance checklist for “Studio is real”</w:t>
      </w:r>
    </w:p>
    <w:p>
      <w:pPr>
        <w:spacing w:after="20"/>
      </w:pPr>
      <w:r>
        <w:rPr>
          <w:b/>
          <w:color w:val="1E3A5F"/>
          <w:sz w:val="19"/>
        </w:rPr>
        <w:t>30. Final architectural rules</w:t>
      </w:r>
    </w:p>
    <w:p>
      <w:pPr>
        <w:spacing w:after="20"/>
      </w:pPr>
      <w:r>
        <w:rPr>
          <w:b/>
          <w:color w:val="1E3A5F"/>
          <w:sz w:val="19"/>
        </w:rPr>
        <w:t>Appendix A. Core descriptor examples</w:t>
      </w:r>
    </w:p>
    <w:p>
      <w:pPr>
        <w:spacing w:after="20"/>
      </w:pPr>
      <w:r>
        <w:rPr>
          <w:b/>
          <w:color w:val="1E3A5F"/>
          <w:sz w:val="19"/>
        </w:rPr>
        <w:t>Appendix B. Suggested flow step state machine</w:t>
      </w:r>
    </w:p>
    <w:p>
      <w:pPr>
        <w:spacing w:after="20"/>
      </w:pPr>
      <w:r>
        <w:rPr>
          <w:b/>
          <w:color w:val="1E3A5F"/>
          <w:sz w:val="19"/>
        </w:rPr>
        <w:t>Appendix C. Error taxonomy</w:t>
      </w:r>
    </w:p>
    <w:p>
      <w:pPr>
        <w:spacing w:after="20"/>
      </w:pPr>
      <w:r>
        <w:rPr>
          <w:b/>
          <w:color w:val="1E3A5F"/>
          <w:sz w:val="19"/>
        </w:rPr>
        <w:t>Appendix D. Research and implementation evidence base</w:t>
      </w:r>
    </w:p>
    <w:p>
      <w:r>
        <w:br w:type="page"/>
      </w:r>
    </w:p>
    <w:p>
      <w:pPr>
        <w:pStyle w:val="Heading1"/>
      </w:pPr>
      <w:r>
        <w:t>1. Executive decision</w:t>
      </w:r>
    </w:p>
    <w:p>
      <w:r>
        <w:t>Atlas Studio is the configuration, orchestration and extension control plane for Atlas. It is not a separate low-code product, a replacement ERP, or an unrestricted database editor. Its purpose is to make Atlas dramatically more adaptable while preserving the integrity of the business engines that make an ERP trustworthy.</w:t>
      </w:r>
    </w:p>
    <w:p>
      <w:r>
        <w:t>The core design rule is simple: every Atlas app exposes a safe, typed capability surface into Studio. Studio can compose those capabilities into fields, pages, views, processes, flows, decisions, approvals, templates, integrations, dashboards and packages. It must not bypass the owning domain to directly perform protected business mutations such as posting a journal, completing a manufacturing order, moving stock, issuing payroll, releasing credit, or changing an immutable statutory record.</w:t>
      </w:r>
    </w:p>
    <w:p>
      <w:r>
        <w:t>This architecture turns Atlas from a collection of configurable applications into one connected business operating system. A customer, product, order, shipment, manufacturing order, invoice, case, employee, machine or project remains canonical in its owning domain. Studio provides a consistent way to extend the experience around those records and to coordinate work between domains without creating duplicate truth.</w:t>
      </w:r>
    </w:p>
    <w:p>
      <w:pPr>
        <w:pStyle w:val="Heading2"/>
      </w:pPr>
      <w:r>
        <w:t>1.1 The architectural decision</w:t>
      </w:r>
    </w:p>
    <w:p>
      <w:r>
        <w:t>Studio becomes the common configuration and orchestration plane for Atlas. All modules participate through typed contracts. Studio may compose safe capabilities but never bypass domain ownership. This is the rule that all subsequent implementation decisions must preserve.</w:t>
      </w:r>
    </w:p>
    <w:p>
      <w:pPr>
        <w:pStyle w:val="Heading2"/>
      </w:pPr>
      <w:r>
        <w:t>1.2 Why this is a game changer</w:t>
      </w:r>
    </w:p>
    <w:p>
      <w:r>
        <w:t>Most ERP customisation falls into one of two bad extremes: rigid software that needs bespoke coding for every customer, or low-code platforms so permissive that each tenant quietly builds a fragile second system. Atlas can take a different route. It can expose much more of the product to configuration while retaining one canonical business model, one permission system, one audit model and clear domain ownership. That combination is the product advantage.</w:t>
      </w:r>
    </w:p>
    <w:p>
      <w:pPr>
        <w:pStyle w:val="Heading2"/>
      </w:pPr>
      <w:r>
        <w:t>1.3 Non-goals</w:t>
      </w:r>
    </w:p>
    <w:p>
      <w:pPr>
        <w:pStyle w:val="ListBullet"/>
      </w:pPr>
      <w:r>
        <w:t>Arbitrary SQL, arbitrary JavaScript or arbitrary server-side code entered by tenant administrators.</w:t>
      </w:r>
    </w:p>
    <w:p>
      <w:pPr>
        <w:pStyle w:val="ListBullet"/>
      </w:pPr>
      <w:r>
        <w:t>A universal editable database schema that lets users add or mutate tables inside domain modules.</w:t>
      </w:r>
    </w:p>
    <w:p>
      <w:pPr>
        <w:pStyle w:val="ListBullet"/>
      </w:pPr>
      <w:r>
        <w:t>Replacing canonical Atlas modules with generic forms and workflows.</w:t>
      </w:r>
    </w:p>
    <w:p>
      <w:pPr>
        <w:pStyle w:val="ListBullet"/>
      </w:pPr>
      <w:r>
        <w:t>Allowing Studio permissions to override module permissions, record security, tenant boundaries or sensitive-field policies.</w:t>
      </w:r>
    </w:p>
    <w:p>
      <w:pPr>
        <w:pStyle w:val="ListBullet"/>
      </w:pPr>
      <w:r>
        <w:t>Copying business data into Studio merely so flows can access it.</w:t>
      </w:r>
    </w:p>
    <w:p>
      <w:pPr>
        <w:pStyle w:val="ListBullet"/>
      </w:pPr>
      <w:r>
        <w:t>Using event-driven eventual consistency where a same-transaction invariant is required.</w:t>
      </w:r>
    </w:p>
    <w:p>
      <w:pPr>
        <w:pStyle w:val="ListBullet"/>
      </w:pPr>
      <w:r>
        <w:t>Claiming configuration is safe because the UI hides dangerous options. The server contract is the boundary.</w:t>
      </w:r>
    </w:p>
    <w:p>
      <w:pPr>
        <w:pStyle w:val="ListBullet"/>
      </w:pPr>
      <w:r>
        <w:t>Creating multiple automation engines, approval engines or template engines that drift apart.</w:t>
      </w:r>
    </w:p>
    <w:p>
      <w:pPr>
        <w:pStyle w:val="Heading1"/>
      </w:pPr>
      <w:r>
        <w:t>2. Platform principles</w:t>
      </w:r>
    </w:p>
    <w:p>
      <w:pPr>
        <w:pStyle w:val="Heading2"/>
      </w:pPr>
      <w:r>
        <w:t>Everything connects through contracts, not internal imports</w:t>
      </w:r>
    </w:p>
    <w:p>
      <w:r>
        <w:t>Modules publish discoverable entities, commands, queries, events, views and extension points through Core. Studio consumes those contracts. A module never reaches into another module’s private services merely because a flow wants to connect them.</w:t>
      </w:r>
    </w:p>
    <w:p>
      <w:pPr>
        <w:pStyle w:val="Heading2"/>
      </w:pPr>
      <w:r>
        <w:t>Domain ownership remains absolute</w:t>
      </w:r>
    </w:p>
    <w:p>
      <w:r>
        <w:t>The module that owns a business invariant remains the only place allowed to enforce and mutate it. Finance owns posting. Inventory owns stock truth. Manufacturing owns production execution. Payroll owns payroll calculation and release. Studio can invoke published commands, but cannot recreate those rules in configurable scripts.</w:t>
      </w:r>
    </w:p>
    <w:p>
      <w:pPr>
        <w:pStyle w:val="Heading2"/>
      </w:pPr>
      <w:r>
        <w:t>Configuration is versioned software</w:t>
      </w:r>
    </w:p>
    <w:p>
      <w:r>
        <w:t>Published configuration is immutable, versioned, auditable, testable and deployable. Drafts may change freely. Runtime records pin the version that started them so a mid-process edit cannot silently alter an in-flight approval or workflow.</w:t>
      </w:r>
    </w:p>
    <w:p>
      <w:pPr>
        <w:pStyle w:val="Heading2"/>
      </w:pPr>
      <w:r>
        <w:t>Flexibility must fail safely</w:t>
      </w:r>
    </w:p>
    <w:p>
      <w:r>
        <w:t>Unknown fields, missing actions, disabled modules, schema changes and external integration failures are expected operating conditions. The platform must degrade explicitly, queue recoverable work, and prevent silent corruption.</w:t>
      </w:r>
    </w:p>
    <w:p>
      <w:pPr>
        <w:pStyle w:val="Heading2"/>
      </w:pPr>
      <w:r>
        <w:t>Complexity underneath, simplicity on screen</w:t>
      </w:r>
    </w:p>
    <w:p>
      <w:r>
        <w:t>Administrators can compose advanced behaviour, but ordinary users see the smallest useful surface: the fields, actions and context needed for the task they are doing now.</w:t>
      </w:r>
    </w:p>
    <w:p>
      <w:pPr>
        <w:pStyle w:val="Heading2"/>
      </w:pPr>
      <w:r>
        <w:t>Security is inherited and narrowed, never widened</w:t>
      </w:r>
    </w:p>
    <w:p>
      <w:r>
        <w:t>Studio cannot grant access that the underlying module, record, tenant or field policy does not allow. Every generated page, query and action executes through the same server-side tenant and capability boundaries as hand-written Atlas features.</w:t>
      </w:r>
    </w:p>
    <w:p>
      <w:pPr>
        <w:pStyle w:val="Heading2"/>
      </w:pPr>
      <w:r>
        <w:t>Explainability is a first-class feature</w:t>
      </w:r>
    </w:p>
    <w:p>
      <w:r>
        <w:t>Every automated decision and significant mutation must answer: what ran, which version ran, what inputs were used, which rule matched, what action was attempted, who or what initiated it, and what happened next.</w:t>
      </w:r>
    </w:p>
    <w:p>
      <w:pPr>
        <w:pStyle w:val="Heading2"/>
      </w:pPr>
      <w:r>
        <w:t>No second source of truth</w:t>
      </w:r>
    </w:p>
    <w:p>
      <w:r>
        <w:t>Studio metadata may describe, extend or project canonical records. It must not create shadow copies of customers, products, stock, orders, invoices or employee records simply to make them easier to configure.</w:t>
      </w:r>
    </w:p>
    <w:p>
      <w:pPr>
        <w:pStyle w:val="Heading2"/>
      </w:pPr>
      <w:r>
        <w:t>Portable, testable packages</w:t>
      </w:r>
    </w:p>
    <w:p>
      <w:r>
        <w:t>Configuration should move between environments as signed, dependency-aware packages with validation, dry-run deployment and conflict detection.</w:t>
      </w:r>
    </w:p>
    <w:p>
      <w:pPr>
        <w:pStyle w:val="Heading2"/>
      </w:pPr>
      <w:r>
        <w:t>Progressive exposure</w:t>
      </w:r>
    </w:p>
    <w:p>
      <w:r>
        <w:t>The safest level of configuration is preferred. A display label should be configurable without making the field schema configurable. A workflow may invoke an approved business command without exposing arbitrary code execution.</w:t>
      </w:r>
    </w:p>
    <w:p>
      <w:pPr>
        <w:pStyle w:val="Heading1"/>
      </w:pPr>
      <w:r>
        <w:t>3. Existing Atlas baseline</w:t>
      </w:r>
    </w:p>
    <w:p>
      <w:r>
        <w:t>Atlas already uses a Core + Modules architecture. Core owns shared platform services, authentication, tenant resolution, permissions, the module registry, Customer Master, events, audit, activity, search, attention and other cross-cutting contracts. Business modules own their domain entities and use cases. Studio should extend that pattern instead of creating a parallel framework.</w:t>
      </w:r>
    </w:p>
    <w:p>
      <w:r>
        <w:t>The key evolution is to replace the growing collection of one-off provider properties in the module manifest with a standardised capability registry. The current provider model remains supported during migration, but each module progressively publishes a typed descriptor of what Studio may safely discover and compose.</w:t>
      </w:r>
    </w:p>
    <w:p>
      <w:r>
        <w:t>Studio itself should be treated as a platform service with a user-facing administration application. The Studio UI edits configuration metadata. The runtime compiler validates and compiles published metadata into efficient runtime artefacts. Runtime services execute page definitions, processes, flows and decisions. Workers handle durable asynchronous work. Domain modules remain authoritative for business state changes.</w:t>
      </w:r>
    </w:p>
    <w:p>
      <w:pPr>
        <w:pStyle w:val="Heading2"/>
      </w:pPr>
      <w:r>
        <w:t>3.1 Existing strengths to preserve</w:t>
      </w:r>
    </w:p>
    <w:p>
      <w:pPr>
        <w:pStyle w:val="ListBullet"/>
      </w:pPr>
      <w:r>
        <w:t>Core + Modules boundary with Core owning platform concerns and modules owning business capabilities.</w:t>
      </w:r>
    </w:p>
    <w:p>
      <w:pPr>
        <w:pStyle w:val="ListBullet"/>
      </w:pPr>
      <w:r>
        <w:t>Canonical Party / Customer Master rather than customer copies in individual modules.</w:t>
      </w:r>
    </w:p>
    <w:p>
      <w:pPr>
        <w:pStyle w:val="ListBullet"/>
      </w:pPr>
      <w:r>
        <w:t>Capability-based permission strings and tenant scoping resolved from the authenticated session.</w:t>
      </w:r>
    </w:p>
    <w:p>
      <w:pPr>
        <w:pStyle w:val="ListBullet"/>
      </w:pPr>
      <w:r>
        <w:t>Module registry and manifest-driven navigation/providers.</w:t>
      </w:r>
    </w:p>
    <w:p>
      <w:pPr>
        <w:pStyle w:val="ListBullet"/>
      </w:pPr>
      <w:r>
        <w:t>Domain events and the beginnings of durable outbox/event persistence.</w:t>
      </w:r>
    </w:p>
    <w:p>
      <w:pPr>
        <w:pStyle w:val="ListBullet"/>
      </w:pPr>
      <w:r>
        <w:t>Audit, activity, search, attention, templates, relationships and service-work provider patterns.</w:t>
      </w:r>
    </w:p>
    <w:p>
      <w:pPr>
        <w:pStyle w:val="ListBullet"/>
      </w:pPr>
      <w:r>
        <w:t>One shared PostgreSQL data store with authoritative records remaining server-side.</w:t>
      </w:r>
    </w:p>
    <w:p>
      <w:pPr>
        <w:pStyle w:val="Heading2"/>
      </w:pPr>
      <w:r>
        <w:t>3.2 Existing problem Studio should solve</w:t>
      </w:r>
    </w:p>
    <w:p>
      <w:r>
        <w:t>The manifest has naturally accumulated many specialist provider properties as Atlas has connected more domains. This proves the contract approach works, but it will become increasingly difficult to discover, document and compose if every new cross-module use case adds another bespoke optional property. Studio therefore introduces a general capability contract that can model the recurring categories consistently while allowing specialist extension types when genuinely needed.</w:t>
      </w:r>
    </w:p>
    <w:p>
      <w:pPr>
        <w:pStyle w:val="Heading1"/>
      </w:pPr>
      <w:r>
        <w:t>4. Target architecture</w:t>
      </w:r>
    </w:p>
    <w:p>
      <w:pPr>
        <w:pStyle w:val="Heading2"/>
      </w:pPr>
      <w:r>
        <w:t>Atlas Core</w:t>
      </w:r>
    </w:p>
    <w:p>
      <w:r>
        <w:t>Identity, tenancy, permissions, module lifecycle, shared canonical records, audit, activity, event envelope, outbox/dispatcher, runtime registry, configuration versioning and common UI contracts.</w:t>
      </w:r>
    </w:p>
    <w:p>
      <w:pPr>
        <w:pStyle w:val="Heading2"/>
      </w:pPr>
      <w:r>
        <w:t>Domain modules</w:t>
      </w:r>
    </w:p>
    <w:p>
      <w:r>
        <w:t>Sales, CRM, Inventory, Manufacturing, Finance and the other business applications. Each owns its data, rules, commands, projections and invariants.</w:t>
      </w:r>
    </w:p>
    <w:p>
      <w:pPr>
        <w:pStyle w:val="Heading2"/>
      </w:pPr>
      <w:r>
        <w:t>Capability Registry</w:t>
      </w:r>
    </w:p>
    <w:p>
      <w:r>
        <w:t>A typed, discoverable catalogue of entity schemas, queries, commands, events, record surfaces, field extension points, templates, metrics and integration endpoints that modules deliberately expose.</w:t>
      </w:r>
    </w:p>
    <w:p>
      <w:pPr>
        <w:pStyle w:val="Heading2"/>
      </w:pPr>
      <w:r>
        <w:t>Studio Metadata</w:t>
      </w:r>
    </w:p>
    <w:p>
      <w:r>
        <w:t>Draft and published definitions for fields, record types, pages, views, processes, flows, decisions, approvals, templates, packages and environment variables.</w:t>
      </w:r>
    </w:p>
    <w:p>
      <w:pPr>
        <w:pStyle w:val="Heading2"/>
      </w:pPr>
      <w:r>
        <w:t>Studio Compiler</w:t>
      </w:r>
    </w:p>
    <w:p>
      <w:r>
        <w:t>Validates references, permissions, type compatibility, dependencies and cyclic graphs, then emits immutable runtime plans and cacheable descriptors.</w:t>
      </w:r>
    </w:p>
    <w:p>
      <w:pPr>
        <w:pStyle w:val="Heading2"/>
      </w:pPr>
      <w:r>
        <w:t>Runtime Engines</w:t>
      </w:r>
    </w:p>
    <w:p>
      <w:r>
        <w:t>Page runtime, process runtime, flow runtime, decision runtime, approval runtime and template runtime. Engines use compiled plans and domain contracts rather than inspecting arbitrary database tables.</w:t>
      </w:r>
    </w:p>
    <w:p>
      <w:pPr>
        <w:pStyle w:val="Heading2"/>
      </w:pPr>
      <w:r>
        <w:t>Worker and Scheduler</w:t>
      </w:r>
    </w:p>
    <w:p>
      <w:r>
        <w:t>Durable timers, retries, background steps, webhook delivery, integration polling, dead-letter handling and recovery.</w:t>
      </w:r>
    </w:p>
    <w:p>
      <w:pPr>
        <w:pStyle w:val="Heading2"/>
      </w:pPr>
      <w:r>
        <w:t>Observability and Guardian</w:t>
      </w:r>
    </w:p>
    <w:p>
      <w:r>
        <w:t>Run history, trace timeline, failure diagnosis, configuration health, dependency warnings, performance metrics and safe repair hand-offs.</w:t>
      </w:r>
    </w:p>
    <w:p>
      <w:r>
        <w:t>The dependency direction is one way: Studio runtime depends on Core contracts; module adapters implement those contracts; Core and Studio never import module service internals. UI components may render module-contributed descriptors but do not receive unrestricted database access.</w:t>
      </w:r>
    </w:p>
    <w:p>
      <w:pPr>
        <w:pStyle w:val="Heading2"/>
      </w:pPr>
      <w:r>
        <w:t>4.1 Logical runtime</w:t>
      </w:r>
    </w:p>
    <w:p>
      <w:pPr>
        <w:pStyle w:val="CodeBlock"/>
        <w:shd w:fill="F1F5F9"/>
      </w:pPr>
      <w:r>
        <w:t>User / API / Scheduler</w:t>
        <w:br/>
        <w:t xml:space="preserve">        |</w:t>
        <w:br/>
        <w:t xml:space="preserve">        v</w:t>
        <w:br/>
        <w:t xml:space="preserve"> Atlas Core security context</w:t>
        <w:br/>
        <w:t xml:space="preserve">        |</w:t>
        <w:br/>
        <w:t xml:space="preserve">        +---------------------&gt; Canonical module pages</w:t>
        <w:br/>
        <w:t xml:space="preserve">        |</w:t>
        <w:br/>
        <w:t xml:space="preserve">        v</w:t>
        <w:br/>
        <w:t xml:space="preserve"> Studio Runtime Gateway</w:t>
        <w:br/>
        <w:t xml:space="preserve">        |</w:t>
        <w:br/>
        <w:t xml:space="preserve">   +----+---------+-------------+-------------+</w:t>
        <w:br/>
        <w:t xml:space="preserve">   |              |             |             |</w:t>
        <w:br/>
        <w:t xml:space="preserve"> Page Runtime  Process       Decision       Flow Runtime</w:t>
        <w:br/>
        <w:t xml:space="preserve">               Runtime       Runtime            |</w:t>
        <w:br/>
        <w:t xml:space="preserve">   |              |             |               v</w:t>
        <w:br/>
        <w:t xml:space="preserve">   +--------------+-------------+------&gt; Capability Registry</w:t>
        <w:br/>
        <w:t xml:space="preserve">                                      /   |   |   \</w:t>
        <w:br/>
        <w:t xml:space="preserve">                                     /    |   |    \</w:t>
        <w:br/>
        <w:t xml:space="preserve">                                  Sales  Mfg Finance Logistics ...</w:t>
        <w:br/>
        <w:t xml:space="preserve">                                     \    |   |    /</w:t>
        <w:br/>
        <w:t xml:space="preserve">                                      \   |   |   /</w:t>
        <w:br/>
        <w:t xml:space="preserve">                                  Domain commands/events</w:t>
      </w:r>
    </w:p>
    <w:p>
      <w:pPr>
        <w:pStyle w:val="Heading1"/>
      </w:pPr>
      <w:r>
        <w:t>5. Capability Registry</w:t>
      </w:r>
    </w:p>
    <w:p>
      <w:r>
        <w:t>The Capability Registry is the architectural centre of Studio. It should answer, in a machine-readable way, what each enabled Atlas module is prepared to expose. The registry is intentionally broader than permissions. A permission answers whether an actor may do something. A capability contract describes what the thing is, its inputs and outputs, its data classification, its side effects, its stability and how Studio may compose it.</w:t>
      </w:r>
    </w:p>
    <w:p>
      <w:r>
        <w:t>A module should be able to register one or more capability bundles. Each bundle contains stable identifiers rather than UI labels. Identifiers are versioned and survive renaming. Studio stores references by identifier and validates them at publish time.</w:t>
      </w:r>
    </w:p>
    <w:p>
      <w:pPr>
        <w:pStyle w:val="Heading2"/>
      </w:pPr>
      <w:r>
        <w:t>Entity descriptors</w:t>
      </w:r>
    </w:p>
    <w:p>
      <w:r>
        <w:t>Canonical record types, identifier shape, human label strategy, supported record routes, searchable fields, read projections and extension policy.</w:t>
      </w:r>
    </w:p>
    <w:p>
      <w:pPr>
        <w:pStyle w:val="Heading2"/>
      </w:pPr>
      <w:r>
        <w:t>Field descriptors</w:t>
      </w:r>
    </w:p>
    <w:p>
      <w:r>
        <w:t>Native fields that may be read or displayed, including type, nullability, sensitivity, formatting, filter/sort support and whether the field may be used in decisions or templates.</w:t>
      </w:r>
    </w:p>
    <w:p>
      <w:pPr>
        <w:pStyle w:val="Heading2"/>
      </w:pPr>
      <w:r>
        <w:t>Query descriptors</w:t>
      </w:r>
    </w:p>
    <w:p>
      <w:r>
        <w:t>Capability-gated, tenant-scoped reads with declared parameters, result schema, pagination behaviour, cost hints and maximum cardinality.</w:t>
      </w:r>
    </w:p>
    <w:p>
      <w:pPr>
        <w:pStyle w:val="Heading2"/>
      </w:pPr>
      <w:r>
        <w:t>Command descriptors</w:t>
      </w:r>
    </w:p>
    <w:p>
      <w:r>
        <w:t>Approved business mutations with typed input/output, required capability, idempotency requirements, transactional expectations, side-effect classification and compensating options where meaningful.</w:t>
      </w:r>
    </w:p>
    <w:p>
      <w:pPr>
        <w:pStyle w:val="Heading2"/>
      </w:pPr>
      <w:r>
        <w:t>Event descriptors</w:t>
      </w:r>
    </w:p>
    <w:p>
      <w:r>
        <w:t>Durable business facts that other modules and flows may subscribe to. Events contain stable schemas, versioning and explicit ordering/idempotency semantics.</w:t>
      </w:r>
    </w:p>
    <w:p>
      <w:pPr>
        <w:pStyle w:val="Heading2"/>
      </w:pPr>
      <w:r>
        <w:t>Record surfaces</w:t>
      </w:r>
    </w:p>
    <w:p>
      <w:r>
        <w:t>Slots where Studio or another enabled module may contribute sections, tabs, actions, banners, metrics or related-record panels without taking ownership of the record page.</w:t>
      </w:r>
    </w:p>
    <w:p>
      <w:pPr>
        <w:pStyle w:val="Heading2"/>
      </w:pPr>
      <w:r>
        <w:t>Decision facts</w:t>
      </w:r>
    </w:p>
    <w:p>
      <w:r>
        <w:t>Whitelisted facts and derived values available to decision tables, including provenance and freshness.</w:t>
      </w:r>
    </w:p>
    <w:p>
      <w:pPr>
        <w:pStyle w:val="Heading2"/>
      </w:pPr>
      <w:r>
        <w:t>Template contexts</w:t>
      </w:r>
    </w:p>
    <w:p>
      <w:r>
        <w:t>Whitelisted merge fields and record references for document generation, preserving source permissions and field-level sensitivity.</w:t>
      </w:r>
    </w:p>
    <w:p>
      <w:pPr>
        <w:pStyle w:val="Heading2"/>
      </w:pPr>
      <w:r>
        <w:t>Metrics</w:t>
      </w:r>
    </w:p>
    <w:p>
      <w:r>
        <w:t>Typed measures and dimensions that Analytics, dashboards and Studio can compose without reaching into private tables.</w:t>
      </w:r>
    </w:p>
    <w:p>
      <w:pPr>
        <w:pStyle w:val="Heading2"/>
      </w:pPr>
      <w:r>
        <w:t>Integration endpoints</w:t>
      </w:r>
    </w:p>
    <w:p>
      <w:r>
        <w:t>Explicit import/export/webhook contracts with validation and security requirements.</w:t>
      </w:r>
    </w:p>
    <w:p>
      <w:pPr>
        <w:pStyle w:val="Heading2"/>
      </w:pPr>
      <w:r>
        <w:t>5.11 Module contract shape</w:t>
      </w:r>
    </w:p>
    <w:p>
      <w:r>
        <w:t>A future module manifest should stay small at its top level and expose a `studio` or `capabilities` bundle instead of accumulating dozens of unrelated optional provider fields. Existing providers can be adapted into the registry behind compatibility wrappers until each module is migrated.</w:t>
      </w:r>
    </w:p>
    <w:p>
      <w:r>
        <w:t>Illustrative TypeScript contract:</w:t>
      </w:r>
    </w:p>
    <w:p>
      <w:pPr>
        <w:pStyle w:val="CodeBlock"/>
        <w:shd w:fill="F1F5F9"/>
      </w:pPr>
      <w:r>
        <w:t>export type StudioModuleContract = {</w:t>
        <w:br/>
        <w:t xml:space="preserve">  entities?: EntityDescriptor[];</w:t>
        <w:br/>
        <w:t xml:space="preserve">  queries?: QueryDescriptor[];</w:t>
        <w:br/>
        <w:t xml:space="preserve">  commands?: CommandDescriptor[];</w:t>
        <w:br/>
        <w:t xml:space="preserve">  events?: EventDescriptor[];</w:t>
        <w:br/>
        <w:t xml:space="preserve">  surfaces?: RecordSurfaceDescriptor[];</w:t>
        <w:br/>
        <w:t xml:space="preserve">  decisions?: DecisionFactDescriptor[];</w:t>
        <w:br/>
        <w:t xml:space="preserve">  templates?: TemplateContextDescriptor[];</w:t>
        <w:br/>
        <w:t xml:space="preserve">  metrics?: MetricDescriptor[];</w:t>
        <w:br/>
        <w:t xml:space="preserve">  integrations?: IntegrationDescriptor[];</w:t>
        <w:br/>
        <w:t>};</w:t>
        <w:br/>
        <w:br/>
        <w:t>export type CommandDescriptor&lt;I, O&gt; = {</w:t>
        <w:br/>
        <w:t xml:space="preserve">  id: string;</w:t>
        <w:br/>
        <w:t xml:space="preserve">  version: number;</w:t>
        <w:br/>
        <w:t xml:space="preserve">  label: string;</w:t>
        <w:br/>
        <w:t xml:space="preserve">  capability: string;</w:t>
        <w:br/>
        <w:t xml:space="preserve">  input: ZodType&lt;I&gt;;</w:t>
        <w:br/>
        <w:t xml:space="preserve">  output: ZodType&lt;O&gt;;</w:t>
        <w:br/>
        <w:t xml:space="preserve">  execution: 'transactional' | 'durable';</w:t>
        <w:br/>
        <w:t xml:space="preserve">  idempotency: 'required' | 'supported' | 'not_applicable';</w:t>
        <w:br/>
        <w:t xml:space="preserve">  sideEffect: 'none' | 'internal' | 'external';</w:t>
        <w:br/>
        <w:t xml:space="preserve">  invoke(ctx: CommandContext, input: I): Promise&lt;O&gt;;</w:t>
        <w:br/>
        <w:t>};</w:t>
      </w:r>
    </w:p>
    <w:p>
      <w:r>
        <w:t>The runtime should never accept an arbitrary module path or function name from configuration. Published definitions refer only to registry identifiers that were present and compatible at compile time.</w:t>
      </w:r>
    </w:p>
    <w:p>
      <w:pPr>
        <w:pStyle w:val="Heading2"/>
      </w:pPr>
      <w:r>
        <w:t>5.12 Compatibility rules</w:t>
      </w:r>
    </w:p>
    <w:p>
      <w:pPr>
        <w:pStyle w:val="ListBullet"/>
      </w:pPr>
      <w:r>
        <w:t>Removing a published capability identifier is breaking while any active configuration references it.</w:t>
      </w:r>
    </w:p>
    <w:p>
      <w:pPr>
        <w:pStyle w:val="ListBullet"/>
      </w:pPr>
      <w:r>
        <w:t>Adding optional fields to an output schema may be compatible; removing fields or narrowing accepted input is breaking unless versioned.</w:t>
      </w:r>
    </w:p>
    <w:p>
      <w:pPr>
        <w:pStyle w:val="ListBullet"/>
      </w:pPr>
      <w:r>
        <w:t>Command side-effect classification cannot be weakened in a minor contract version.</w:t>
      </w:r>
    </w:p>
    <w:p>
      <w:pPr>
        <w:pStyle w:val="ListBullet"/>
      </w:pPr>
      <w:r>
        <w:t>Every registry item has an owner module, stable identifier, version, schema hash and lifecycle state.</w:t>
      </w:r>
    </w:p>
    <w:p>
      <w:pPr>
        <w:pStyle w:val="ListBullet"/>
      </w:pPr>
      <w:r>
        <w:t>Deprecated capabilities remain resolvable for a defined support window and produce publish warnings for new drafts.</w:t>
      </w:r>
    </w:p>
    <w:p>
      <w:pPr>
        <w:pStyle w:val="ListBullet"/>
      </w:pPr>
      <w:r>
        <w:t>A release compatibility gate scans all active Studio dependencies before deployment can claim success.</w:t>
      </w:r>
    </w:p>
    <w:p>
      <w:pPr>
        <w:pStyle w:val="Heading1"/>
      </w:pPr>
      <w:r>
        <w:t>6. Studio metadata and data architecture</w:t>
      </w:r>
    </w:p>
    <w:p>
      <w:r>
        <w:t>Studio needs its own metadata schema, but the schema should describe configuration rather than reproduce business data. A small number of Core tables support all configurable artefacts through versioned definitions and typed extension values.</w:t>
      </w:r>
    </w:p>
    <w:p>
      <w:r>
        <w:t>Configuration is tenant-scoped unless explicitly marked as platform-owned. Platform templates may be installed into a tenant as packages, but the tenant receives an explicit installed version and may create a local derivative where policy permits. Published definitions are append-only. A draft points at its previous published version and is promoted through validation into a new immutable version.</w:t>
      </w:r>
    </w:p>
    <w:p>
      <w:r>
        <w:t>Custom fields should use a hybrid model. Definitions live in relational metadata with strong type information. Values live in typed extension-value tables or a carefully controlled JSON document attached to the canonical record, depending on query needs. Frequently filtered, sorted, unique or indexed custom fields must have a promoted/indexed storage strategy rather than forcing every query through unindexed JSON.</w:t>
      </w:r>
    </w:p>
    <w:p>
      <w:pPr>
        <w:spacing w:after="20"/>
      </w:pPr>
      <w:r>
        <w:rPr>
          <w:rFonts w:ascii="Aptos" w:hAnsi="Aptos"/>
          <w:color w:val="334155"/>
          <w:sz w:val="17"/>
        </w:rPr>
        <w:t>Model  Purpose</w:t>
      </w:r>
    </w:p>
    <w:p>
      <w:pPr>
        <w:spacing w:after="20"/>
      </w:pPr>
      <w:r>
        <w:rPr>
          <w:rFonts w:ascii="Aptos" w:hAnsi="Aptos"/>
          <w:color w:val="334155"/>
          <w:sz w:val="17"/>
        </w:rPr>
        <w:t>StudioDefinition  Stable identity for an artefact such as a page, process, flow, decision, view, field set or package component.</w:t>
      </w:r>
    </w:p>
    <w:p>
      <w:pPr>
        <w:spacing w:after="20"/>
      </w:pPr>
      <w:r>
        <w:rPr>
          <w:rFonts w:ascii="Aptos" w:hAnsi="Aptos"/>
          <w:color w:val="334155"/>
          <w:sz w:val="17"/>
        </w:rPr>
        <w:t>StudioDefinitionVersion  Immutable published payload, semantic version, schema version, checksum, creator, publication timestamp, dependency list and compatibility information.</w:t>
      </w:r>
    </w:p>
    <w:p>
      <w:pPr>
        <w:spacing w:after="20"/>
      </w:pPr>
      <w:r>
        <w:rPr>
          <w:rFonts w:ascii="Aptos" w:hAnsi="Aptos"/>
          <w:color w:val="334155"/>
          <w:sz w:val="17"/>
        </w:rPr>
        <w:t>StudioDraft  Mutable working copy with optimistic concurrency revision, editor ownership, validation results and base published version.</w:t>
      </w:r>
    </w:p>
    <w:p>
      <w:pPr>
        <w:spacing w:after="20"/>
      </w:pPr>
      <w:r>
        <w:rPr>
          <w:rFonts w:ascii="Aptos" w:hAnsi="Aptos"/>
          <w:color w:val="334155"/>
          <w:sz w:val="17"/>
        </w:rPr>
        <w:t>StudioDependency  Resolved edges between configuration and module capability identifiers. Used for impact analysis and publish blocking.</w:t>
      </w:r>
    </w:p>
    <w:p>
      <w:pPr>
        <w:spacing w:after="20"/>
      </w:pPr>
      <w:r>
        <w:rPr>
          <w:rFonts w:ascii="Aptos" w:hAnsi="Aptos"/>
          <w:color w:val="334155"/>
          <w:sz w:val="17"/>
        </w:rPr>
        <w:t>StudioFieldDefinition  Custom field metadata: target entity, stable key, type, default, validation, classification, uniqueness/indexing strategy and lifecycle.</w:t>
      </w:r>
    </w:p>
    <w:p>
      <w:pPr>
        <w:spacing w:after="20"/>
      </w:pPr>
      <w:r>
        <w:rPr>
          <w:rFonts w:ascii="Aptos" w:hAnsi="Aptos"/>
          <w:color w:val="334155"/>
          <w:sz w:val="17"/>
        </w:rPr>
        <w:t>StudioFieldValue*  Typed values for configurable fields where queryability is required. Separate value families avoid lossy type coercion.</w:t>
      </w:r>
    </w:p>
    <w:p>
      <w:pPr>
        <w:spacing w:after="20"/>
      </w:pPr>
      <w:r>
        <w:rPr>
          <w:rFonts w:ascii="Aptos" w:hAnsi="Aptos"/>
          <w:color w:val="334155"/>
          <w:sz w:val="17"/>
        </w:rPr>
        <w:t>StudioRecordType  Optional subtype/profile over a canonical entity, for example customer type, case type or project type. It controls forms and process eligibility without creating a second customer/case/project table.</w:t>
      </w:r>
    </w:p>
    <w:p>
      <w:pPr>
        <w:spacing w:after="20"/>
      </w:pPr>
      <w:r>
        <w:rPr>
          <w:rFonts w:ascii="Aptos" w:hAnsi="Aptos"/>
          <w:color w:val="334155"/>
          <w:sz w:val="17"/>
        </w:rPr>
        <w:t>StudioRun  One durable execution instance for a process, flow, approval or integration.</w:t>
      </w:r>
    </w:p>
    <w:p>
      <w:pPr>
        <w:spacing w:after="20"/>
      </w:pPr>
      <w:r>
        <w:rPr>
          <w:rFonts w:ascii="Aptos" w:hAnsi="Aptos"/>
          <w:color w:val="334155"/>
          <w:sz w:val="17"/>
        </w:rPr>
        <w:t>StudioRunStep  Append-only step attempts with status, timing, input/output references, error classification and retry metadata.</w:t>
      </w:r>
    </w:p>
    <w:p>
      <w:pPr>
        <w:spacing w:after="20"/>
      </w:pPr>
      <w:r>
        <w:rPr>
          <w:rFonts w:ascii="Aptos" w:hAnsi="Aptos"/>
          <w:color w:val="334155"/>
          <w:sz w:val="17"/>
        </w:rPr>
        <w:t>StudioTimer  Durable future wake-up associated with a run, step or record.</w:t>
      </w:r>
    </w:p>
    <w:p>
      <w:pPr>
        <w:spacing w:after="20"/>
      </w:pPr>
      <w:r>
        <w:rPr>
          <w:rFonts w:ascii="Aptos" w:hAnsi="Aptos"/>
          <w:color w:val="334155"/>
          <w:sz w:val="17"/>
        </w:rPr>
        <w:t>StudioApproval  Approval request, policy, eligible approvers, segregation-of-duties information, decision history and resolution.</w:t>
      </w:r>
    </w:p>
    <w:p>
      <w:pPr>
        <w:spacing w:after="20"/>
      </w:pPr>
      <w:r>
        <w:rPr>
          <w:rFonts w:ascii="Aptos" w:hAnsi="Aptos"/>
          <w:color w:val="334155"/>
          <w:sz w:val="17"/>
        </w:rPr>
        <w:t>StudioPackage  Versioned export/install unit containing definitions, dependency constraints, migrations and environment bindings.</w:t>
      </w:r>
    </w:p>
    <w:p>
      <w:pPr>
        <w:spacing w:after="20"/>
      </w:pPr>
      <w:r>
        <w:rPr>
          <w:rFonts w:ascii="Aptos" w:hAnsi="Aptos"/>
          <w:color w:val="334155"/>
          <w:sz w:val="17"/>
        </w:rPr>
        <w:t>StudioEnvironmentValue  Encrypted tenant/environment value for non-secret configuration. Secrets must use a dedicated secrets service and be referenced by handle.</w:t>
      </w:r>
    </w:p>
    <w:p>
      <w:pPr>
        <w:pStyle w:val="Heading2"/>
      </w:pPr>
      <w:r>
        <w:t>6.1 Configuration identity</w:t>
      </w:r>
    </w:p>
    <w:p>
      <w:r>
        <w:t>Definitions use UUID identity plus a stable human key unique within the tenant and artefact family. The UUID is the durable reference. Human keys are useful for package diffs and admin navigation but cannot be recycled after deletion because historical traces may reference them.</w:t>
      </w:r>
    </w:p>
    <w:p>
      <w:pPr>
        <w:pStyle w:val="Heading2"/>
      </w:pPr>
      <w:r>
        <w:t>6.2 Draft concurrency</w:t>
      </w:r>
    </w:p>
    <w:p>
      <w:r>
        <w:t>Every draft carries a monotonically increasing revision. Updates use compare-and-swap. The UI must surface conflicts and offer a structural diff rather than silently last-write-wins. Multi-user collaborative editing can be added later, but correctness comes first.</w:t>
      </w:r>
    </w:p>
    <w:p>
      <w:pPr>
        <w:pStyle w:val="Heading2"/>
      </w:pPr>
      <w:r>
        <w:t>6.3 Publication</w:t>
      </w:r>
    </w:p>
    <w:p>
      <w:r>
        <w:t>Publication runs full validation, dependency resolution, permission-policy validation, type checking and compilation. The resulting payload is immutable and checksummed. Activation is a separate pointer change so an administrator can publish a candidate version without activating it immediately where controlled rollout is needed.</w:t>
      </w:r>
    </w:p>
    <w:p>
      <w:pPr>
        <w:pStyle w:val="Heading2"/>
      </w:pPr>
      <w:r>
        <w:t>6.4 Custom field strategy</w:t>
      </w:r>
    </w:p>
    <w:p>
      <w:r>
        <w:t>Custom fields are powerful and dangerous because they can quietly become a competing schema. Studio must therefore distinguish four concepts: presentation aliases, extension fields, record types and true domain fields.</w:t>
      </w:r>
    </w:p>
    <w:p>
      <w:r>
        <w:t>A presentation alias changes label, help text, visibility, ordering or formatting for an existing native field. It does not create storage. An extension field stores additional tenant-specific information that the owning module has declared extensible. A record type changes configuration eligibility and page/process behaviour. A true domain field affects business invariants and belongs in code and the owning module schema, even if Studio provides an administrative UI for its allowed values.</w:t>
      </w:r>
    </w:p>
    <w:p>
      <w:r>
        <w:t>Field keys are immutable after publication. Labels may change. Destructive type conversion is never performed in place. A type change creates a migration plan with compatibility analysis, conversion preview, failure rows and an explicit publish/migrate sequence. Deleting a field means retiring the definition first. Historical values remain readable according to retention policy until a separately authorised purge.</w:t>
      </w:r>
    </w:p>
    <w:p>
      <w:pPr>
        <w:pStyle w:val="Heading2"/>
      </w:pPr>
      <w:r>
        <w:t>6.5 Field validation</w:t>
      </w:r>
    </w:p>
    <w:p>
      <w:pPr>
        <w:pStyle w:val="ListBullet"/>
      </w:pPr>
      <w:r>
        <w:t>Type constraints: string, integer, decimal, money, boolean, date, datetime, duration, email, URL, phone, enum, multi-enum, reference and structured address where approved.</w:t>
      </w:r>
    </w:p>
    <w:p>
      <w:pPr>
        <w:pStyle w:val="ListBullet"/>
      </w:pPr>
      <w:r>
        <w:t>Domain constraints: min/max, regex, required-if, uniqueness, allowed reference entity, currency policy and value-set version.</w:t>
      </w:r>
    </w:p>
    <w:p>
      <w:pPr>
        <w:pStyle w:val="ListBullet"/>
      </w:pPr>
      <w:r>
        <w:t>Presentation constraints are separate from storage constraints. Hiding a required field on a page does not make it optional.</w:t>
      </w:r>
    </w:p>
    <w:p>
      <w:pPr>
        <w:pStyle w:val="ListBullet"/>
      </w:pPr>
      <w:r>
        <w:t>Validation is executed server-side on every write and may also be mirrored client-side for responsiveness.</w:t>
      </w:r>
    </w:p>
    <w:p>
      <w:pPr>
        <w:pStyle w:val="ListBullet"/>
      </w:pPr>
      <w:r>
        <w:t>Cross-record validation that changes business invariants belongs in a domain command, not a custom-field rule.</w:t>
      </w:r>
    </w:p>
    <w:p>
      <w:pPr>
        <w:pStyle w:val="Heading1"/>
      </w:pPr>
      <w:r>
        <w:t>7. Record types and configuration inheritance</w:t>
      </w:r>
    </w:p>
    <w:p>
      <w:r>
        <w:t>Record Types provide controlled variability on top of canonical entities. Examples include customer class, complaint type, project methodology, maintenance work type or engineering change class. A record type can select page variants, allowed processes, required extension fields and default decisions. It does not create a new table or a new security boundary by itself.</w:t>
      </w:r>
    </w:p>
    <w:p>
      <w:pPr>
        <w:pStyle w:val="Heading2"/>
      </w:pPr>
      <w:r>
        <w:t>7.1 Inheritance model</w:t>
      </w:r>
    </w:p>
    <w:p>
      <w:r>
        <w:t>A tenant has a base configuration for an entity. Record types may apply one overlay. Department/site overlays may be supported only where there is a concrete use case and the resolution order stays deterministic. User-specific page personalisation is kept separate from business configuration. The compiler materialises the resolved view so runtime does not walk inheritance chains on every request.</w:t>
      </w:r>
    </w:p>
    <w:p>
      <w:pPr>
        <w:pStyle w:val="Heading2"/>
      </w:pPr>
      <w:r>
        <w:t>7.2 Conflict rule</w:t>
      </w:r>
    </w:p>
    <w:p>
      <w:r>
        <w:t>When two overlays attempt to set the same business property, Studio must either define an explicit precedence in the artefact type or reject the configuration. Silent merge-by-order is prohibited.</w:t>
      </w:r>
    </w:p>
    <w:p>
      <w:pPr>
        <w:pStyle w:val="Heading1"/>
      </w:pPr>
      <w:r>
        <w:t>8. Page Studio</w:t>
      </w:r>
    </w:p>
    <w:p>
      <w:r>
        <w:t>Page Studio should generate coherent Atlas pages, not arbitrary drag-and-drop canvases. A page definition is a structured composition of approved design-system components and record surfaces. This protects accessibility, responsive behaviour and visual consistency while still allowing substantial configuration.</w:t>
      </w:r>
    </w:p>
    <w:p>
      <w:r>
        <w:t>Each entity can have a default record page plus conditional variants selected by record type, company, user capability and approved decision facts. Variants inherit from a base page and apply a deterministic patch. Inheritance must be shallow and inspectable. Deep chains of overrides produce debugging nightmares and should be rejected after a small limit.</w:t>
      </w:r>
    </w:p>
    <w:p>
      <w:r>
        <w:t>Sections may contain native fields, extension fields, related-record components, metrics, instructions, actions, embedded lists, timeline/activity, documents, approvals and module-contributed surfaces. Components declare which form factors they support. The compiler rejects a page that has no usable mobile representation where mobile is a supported target.</w:t>
      </w:r>
    </w:p>
    <w:p>
      <w:pPr>
        <w:pStyle w:val="Heading2"/>
      </w:pPr>
      <w:r>
        <w:t>8.1 Supported component families</w:t>
      </w:r>
    </w:p>
    <w:p>
      <w:pPr>
        <w:pStyle w:val="ListBullet"/>
      </w:pPr>
      <w:r>
        <w:t>Field groups and read-only fact panels.</w:t>
      </w:r>
    </w:p>
    <w:p>
      <w:pPr>
        <w:pStyle w:val="ListBullet"/>
      </w:pPr>
      <w:r>
        <w:t>Related-record lists using registered query descriptors.</w:t>
      </w:r>
    </w:p>
    <w:p>
      <w:pPr>
        <w:pStyle w:val="ListBullet"/>
      </w:pPr>
      <w:r>
        <w:t>Metrics and KPI cards from registered measures.</w:t>
      </w:r>
    </w:p>
    <w:p>
      <w:pPr>
        <w:pStyle w:val="ListBullet"/>
      </w:pPr>
      <w:r>
        <w:t>Activity/timeline, documents and record relationships.</w:t>
      </w:r>
    </w:p>
    <w:p>
      <w:pPr>
        <w:pStyle w:val="ListBullet"/>
      </w:pPr>
      <w:r>
        <w:t>Approved actions/commands with confirmation and preview policy.</w:t>
      </w:r>
    </w:p>
    <w:p>
      <w:pPr>
        <w:pStyle w:val="ListBullet"/>
      </w:pPr>
      <w:r>
        <w:t>Process stage indicator, approvals and outstanding tasks.</w:t>
      </w:r>
    </w:p>
    <w:p>
      <w:pPr>
        <w:pStyle w:val="ListBullet"/>
      </w:pPr>
      <w:r>
        <w:t>Instructions, callouts and conditional guidance.</w:t>
      </w:r>
    </w:p>
    <w:p>
      <w:pPr>
        <w:pStyle w:val="ListBullet"/>
      </w:pPr>
      <w:r>
        <w:t>Embedded analytics views and charts using registered metrics.</w:t>
      </w:r>
    </w:p>
    <w:p>
      <w:pPr>
        <w:pStyle w:val="ListBullet"/>
      </w:pPr>
      <w:r>
        <w:t>Module-contributed record surfaces.</w:t>
      </w:r>
    </w:p>
    <w:p>
      <w:pPr>
        <w:pStyle w:val="Heading2"/>
      </w:pPr>
      <w:r>
        <w:t>8.2 Visibility</w:t>
      </w:r>
    </w:p>
    <w:p>
      <w:r>
        <w:t>Visibility is evaluated from capability checks, record type and side-effect-free Decision facts. Hidden components are not queried unnecessarily. Visibility is not security: every underlying query and command still enforces access independently.</w:t>
      </w:r>
    </w:p>
    <w:p>
      <w:pPr>
        <w:pStyle w:val="Heading2"/>
      </w:pPr>
      <w:r>
        <w:t>8.3 Actions</w:t>
      </w:r>
    </w:p>
    <w:p>
      <w:r>
        <w:t>An action button references a registry command or a first-class process transition. The button may collect additional fields through a schema-driven modal. Confirmation text can show a command-provided preview. A successful action returns a typed result and suggested navigation rather than relying on arbitrary client scripting.</w:t>
      </w:r>
    </w:p>
    <w:p>
      <w:pPr>
        <w:pStyle w:val="Heading1"/>
      </w:pPr>
      <w:r>
        <w:t>9. Process, Flow and Decision engines</w:t>
      </w:r>
    </w:p>
    <w:p>
      <w:r>
        <w:t>Studio must deliberately separate Processes, Flows and Decisions because they solve different problems.</w:t>
      </w:r>
    </w:p>
    <w:p>
      <w:r>
        <w:t>A Process is a human-visible business state machine attached to a canonical record or case. It controls stages, allowed transitions, entry/exit criteria, required fields, available actions and service targets. A Sales Order lifecycle, complaint handling process or engineering change process belongs here.</w:t>
      </w:r>
    </w:p>
    <w:p>
      <w:r>
        <w:t>A Flow is durable orchestration. It starts from an event, schedule, record transition, webhook or explicit command and coordinates actions across modules. It can wait, branch, retry, run in parallel and call external integrations. A flow does not own the underlying record lifecycle unless it is executing a published Process transition.</w:t>
      </w:r>
    </w:p>
    <w:p>
      <w:r>
        <w:t>A Decision is deterministic logic. Decision tables and expressions transform facts into an outcome such as approval route, service priority, carrier choice or discount band. Decisions must be side-effect free. They can be tested exhaustively and reused by pages, processes and flows.</w:t>
      </w:r>
    </w:p>
    <w:p>
      <w:pPr>
        <w:pStyle w:val="Heading2"/>
      </w:pPr>
      <w:r>
        <w:t>9.1 Process rules</w:t>
      </w:r>
    </w:p>
    <w:p>
      <w:pPr>
        <w:pStyle w:val="Heading3"/>
      </w:pPr>
      <w:r>
        <w:t>Explicit states</w:t>
      </w:r>
    </w:p>
    <w:p>
      <w:r>
        <w:t>Every process has stable state identifiers. Display labels may change, identifiers do not.</w:t>
      </w:r>
    </w:p>
    <w:p>
      <w:pPr>
        <w:pStyle w:val="Heading3"/>
      </w:pPr>
      <w:r>
        <w:t>Guarded transitions</w:t>
      </w:r>
    </w:p>
    <w:p>
      <w:r>
        <w:t>A transition may require capabilities, field predicates, decisions, approvals or successful domain commands.</w:t>
      </w:r>
    </w:p>
    <w:p>
      <w:pPr>
        <w:pStyle w:val="Heading3"/>
      </w:pPr>
      <w:r>
        <w:t>Atomic transition intent</w:t>
      </w:r>
    </w:p>
    <w:p>
      <w:r>
        <w:t>The process engine records the transition request and associated command outcome so a crash cannot leave a record ambiguously between states.</w:t>
      </w:r>
    </w:p>
    <w:p>
      <w:pPr>
        <w:pStyle w:val="Heading3"/>
      </w:pPr>
      <w:r>
        <w:t>In-flight version pinning</w:t>
      </w:r>
    </w:p>
    <w:p>
      <w:r>
        <w:t>A process instance keeps the version it started under unless a migration explicitly moves it.</w:t>
      </w:r>
    </w:p>
    <w:p>
      <w:pPr>
        <w:pStyle w:val="Heading3"/>
      </w:pPr>
      <w:r>
        <w:t>Escape and repair</w:t>
      </w:r>
    </w:p>
    <w:p>
      <w:r>
        <w:t>Authorised administrators can inspect stuck instances and use documented recovery actions. Repair never means directly editing private business tables.</w:t>
      </w:r>
    </w:p>
    <w:p>
      <w:pPr>
        <w:pStyle w:val="Heading2"/>
      </w:pPr>
      <w:r>
        <w:t>9.2 Flow node catalogue</w:t>
      </w:r>
    </w:p>
    <w:p>
      <w:pPr>
        <w:spacing w:after="20"/>
      </w:pPr>
      <w:r>
        <w:rPr>
          <w:rFonts w:ascii="Aptos" w:hAnsi="Aptos"/>
          <w:color w:val="334155"/>
          <w:sz w:val="17"/>
        </w:rPr>
        <w:t>Node  Behaviour</w:t>
      </w:r>
    </w:p>
    <w:p>
      <w:pPr>
        <w:spacing w:after="20"/>
      </w:pPr>
      <w:r>
        <w:rPr>
          <w:rFonts w:ascii="Aptos" w:hAnsi="Aptos"/>
          <w:color w:val="334155"/>
          <w:sz w:val="17"/>
        </w:rPr>
        <w:t>Trigger  Domain event, schedule, timer, webhook, process transition or manual start.</w:t>
      </w:r>
    </w:p>
    <w:p>
      <w:pPr>
        <w:spacing w:after="20"/>
      </w:pPr>
      <w:r>
        <w:rPr>
          <w:rFonts w:ascii="Aptos" w:hAnsi="Aptos"/>
          <w:color w:val="334155"/>
          <w:sz w:val="17"/>
        </w:rPr>
        <w:t>Query  Read approved facts through a registry query.</w:t>
      </w:r>
    </w:p>
    <w:p>
      <w:pPr>
        <w:spacing w:after="20"/>
      </w:pPr>
      <w:r>
        <w:rPr>
          <w:rFonts w:ascii="Aptos" w:hAnsi="Aptos"/>
          <w:color w:val="334155"/>
          <w:sz w:val="17"/>
        </w:rPr>
        <w:t>Decision  Evaluate a published Decision definition.</w:t>
      </w:r>
    </w:p>
    <w:p>
      <w:pPr>
        <w:spacing w:after="20"/>
      </w:pPr>
      <w:r>
        <w:rPr>
          <w:rFonts w:ascii="Aptos" w:hAnsi="Aptos"/>
          <w:color w:val="334155"/>
          <w:sz w:val="17"/>
        </w:rPr>
        <w:t>Command  Invoke a domain command with typed input and idempotency key.</w:t>
      </w:r>
    </w:p>
    <w:p>
      <w:pPr>
        <w:spacing w:after="20"/>
      </w:pPr>
      <w:r>
        <w:rPr>
          <w:rFonts w:ascii="Aptos" w:hAnsi="Aptos"/>
          <w:color w:val="334155"/>
          <w:sz w:val="17"/>
        </w:rPr>
        <w:t>Transform  Map data between typed schemas using a constrained expression language.</w:t>
      </w:r>
    </w:p>
    <w:p>
      <w:pPr>
        <w:spacing w:after="20"/>
      </w:pPr>
      <w:r>
        <w:rPr>
          <w:rFonts w:ascii="Aptos" w:hAnsi="Aptos"/>
          <w:color w:val="334155"/>
          <w:sz w:val="17"/>
        </w:rPr>
        <w:t>Wait  Persist a timer or wait for a matching event/correlation key.</w:t>
      </w:r>
    </w:p>
    <w:p>
      <w:pPr>
        <w:spacing w:after="20"/>
      </w:pPr>
      <w:r>
        <w:rPr>
          <w:rFonts w:ascii="Aptos" w:hAnsi="Aptos"/>
          <w:color w:val="334155"/>
          <w:sz w:val="17"/>
        </w:rPr>
        <w:t>Parallel  Launch independent branches with an explicit join policy.</w:t>
      </w:r>
    </w:p>
    <w:p>
      <w:pPr>
        <w:spacing w:after="20"/>
      </w:pPr>
      <w:r>
        <w:rPr>
          <w:rFonts w:ascii="Aptos" w:hAnsi="Aptos"/>
          <w:color w:val="334155"/>
          <w:sz w:val="17"/>
        </w:rPr>
        <w:t>Approval  Create and wait for an approval request.</w:t>
      </w:r>
    </w:p>
    <w:p>
      <w:pPr>
        <w:spacing w:after="20"/>
      </w:pPr>
      <w:r>
        <w:rPr>
          <w:rFonts w:ascii="Aptos" w:hAnsi="Aptos"/>
          <w:color w:val="334155"/>
          <w:sz w:val="17"/>
        </w:rPr>
        <w:t>Integration  Call a registered connector with timeout, retry and uncertainty policy.</w:t>
      </w:r>
    </w:p>
    <w:p>
      <w:pPr>
        <w:spacing w:after="20"/>
      </w:pPr>
      <w:r>
        <w:rPr>
          <w:rFonts w:ascii="Aptos" w:hAnsi="Aptos"/>
          <w:color w:val="334155"/>
          <w:sz w:val="17"/>
        </w:rPr>
        <w:t>Notification  Send through a registered communication provider.</w:t>
      </w:r>
    </w:p>
    <w:p>
      <w:pPr>
        <w:spacing w:after="20"/>
      </w:pPr>
      <w:r>
        <w:rPr>
          <w:rFonts w:ascii="Aptos" w:hAnsi="Aptos"/>
          <w:color w:val="334155"/>
          <w:sz w:val="17"/>
        </w:rPr>
        <w:t>Subflow  Invoke a version-pinned reusable flow with recursion/cycle protection.</w:t>
      </w:r>
    </w:p>
    <w:p>
      <w:pPr>
        <w:spacing w:after="20"/>
      </w:pPr>
      <w:r>
        <w:rPr>
          <w:rFonts w:ascii="Aptos" w:hAnsi="Aptos"/>
          <w:color w:val="334155"/>
          <w:sz w:val="17"/>
        </w:rPr>
        <w:t>End  Complete with a typed outcome.</w:t>
      </w:r>
    </w:p>
    <w:p>
      <w:pPr>
        <w:pStyle w:val="Heading2"/>
      </w:pPr>
      <w:r>
        <w:t>9.3 Durable execution model</w:t>
      </w:r>
    </w:p>
    <w:p>
      <w:r>
        <w:t>Flow execution must be durable. The current in-process event bus is useful for immediate local reactions, but Studio cannot depend on process memory for work that must survive deploys, crashes or server restarts. Domain mutations that publish business events should write an outbox record in the same database transaction as the business change. A dispatcher claims outbox rows, produces durable event envelopes and fans them out to subscribers. Consumers use idempotency records so replay is safe.</w:t>
      </w:r>
    </w:p>
    <w:p>
      <w:r>
        <w:t>A worker claims runnable Studio steps using database locking with short leases. A lease expiry allows recovery after a worker dies. Every external side effect receives an idempotency key where the external API supports one. Where the external system does not support idempotency, Atlas records an uncertainty state after a timeout and requires reconciliation before blindly retrying a potentially duplicated payment, shipment or message.</w:t>
      </w:r>
    </w:p>
    <w:p>
      <w:r>
        <w:t>Retries are policy driven by error class. Validation and permission failures are terminal. Rate limits, temporary network failures and transient provider errors are retryable with bounded exponential back-off and jitter. Exhausted work moves to a dead-letter state that remains visible in Studio Operations and Guardian.</w:t>
      </w:r>
    </w:p>
    <w:p>
      <w:pPr>
        <w:pStyle w:val="Heading2"/>
      </w:pPr>
      <w:r>
        <w:t>9.4 Correlation and causality</w:t>
      </w:r>
    </w:p>
    <w:p>
      <w:r>
        <w:t>Every run has a correlation identifier and a causation chain. Events record the business event that caused them. Commands record the run/step that invoked them where applicable. This permits a record timeline to answer not only what changed but why the automation changed it.</w:t>
      </w:r>
    </w:p>
    <w:p>
      <w:pPr>
        <w:pStyle w:val="Heading2"/>
      </w:pPr>
      <w:r>
        <w:t>9.5 Parallelism</w:t>
      </w:r>
    </w:p>
    <w:p>
      <w:r>
        <w:t>Parallel branches declare a join policy: ALL, ANY_SUCCESS, QUORUM or BEST_EFFORT. Cancellation behaviour is explicit. A branch that performs an irreversible command cannot simply be rolled back because another branch fails; the flow definition must use compensation or a business exception path.</w:t>
      </w:r>
    </w:p>
    <w:p>
      <w:pPr>
        <w:pStyle w:val="Heading2"/>
      </w:pPr>
      <w:r>
        <w:t>9.6 Compensation</w:t>
      </w:r>
    </w:p>
    <w:p>
      <w:r>
        <w:t>Compensation is not database rollback across time. A command may publish a compensating command where the domain supports a legitimate reversal, such as releaseReservation for reserveStock. Posted finance, dispatched goods or sent external communications may require a new corrective business transaction instead of pretending the original never happened.</w:t>
      </w:r>
    </w:p>
    <w:p>
      <w:pPr>
        <w:pStyle w:val="Heading1"/>
      </w:pPr>
      <w:r>
        <w:t>10. Decision Studio</w:t>
      </w:r>
    </w:p>
    <w:p>
      <w:r>
        <w:t>Decision Studio should favour decision tables over a general-purpose programming language. Conditions use typed facts from the Capability Registry. Rules have explicit priority or hit policy. The compiler detects unreachable rows, overlapping ranges where the hit policy forbids them, incompatible output types and missing default behaviour.</w:t>
      </w:r>
    </w:p>
    <w:p>
      <w:r>
        <w:t>Supported hit policies should include FIRST, UNIQUE, PRIORITY, COLLECT and RULE_ORDER where justified. Complex arithmetic and dates use a constrained expression language with deterministic functions. Network access, filesystem access, arbitrary SQL and arbitrary JavaScript are not permitted.</w:t>
      </w:r>
    </w:p>
    <w:p>
      <w:r>
        <w:t>Every evaluation can produce an explanation containing the decision version, input facts, matched rule identifiers and output. Sensitive facts are redacted in general logs but remain available to authorised audit viewers through protected evidence references.</w:t>
      </w:r>
    </w:p>
    <w:p>
      <w:pPr>
        <w:pStyle w:val="Heading2"/>
      </w:pPr>
      <w:r>
        <w:t>10.1 Decision table example</w:t>
      </w:r>
    </w:p>
    <w:p>
      <w:pPr>
        <w:pStyle w:val="CodeBlock"/>
        <w:shd w:fill="F1F5F9"/>
      </w:pPr>
      <w:r>
        <w:t>Decision: sales.order.approval_route</w:t>
        <w:br/>
        <w:t>Hit policy: FIRST</w:t>
        <w:br/>
        <w:br/>
        <w:t>Priority | Order value | Credit state | Outcome</w:t>
        <w:br/>
        <w:t>---------|-------------|--------------|---------------------</w:t>
        <w:br/>
        <w:t>10       | any         | blocked      | reject_hold</w:t>
        <w:br/>
        <w:t>20       | &gt;= £50,000  | clear        | finance_plus_sales</w:t>
        <w:br/>
        <w:t>30       | &gt;= £10,000  | clear        | sales_manager</w:t>
        <w:br/>
        <w:t>40       | &lt; £10,000   | clear        | auto</w:t>
      </w:r>
    </w:p>
    <w:p>
      <w:pPr>
        <w:pStyle w:val="Heading2"/>
      </w:pPr>
      <w:r>
        <w:t>10.2 Testing</w:t>
      </w:r>
    </w:p>
    <w:p>
      <w:r>
        <w:t>The builder provides fixture sets and boundary analysis. For numeric/date ranges it identifies gaps and overlaps. Published Decisions may optionally require all fixtures to pass. A version can be compared with its predecessor to show which test cases change outcome.</w:t>
      </w:r>
    </w:p>
    <w:p>
      <w:pPr>
        <w:pStyle w:val="Heading1"/>
      </w:pPr>
      <w:r>
        <w:t>11. Shared approvals</w:t>
      </w:r>
    </w:p>
    <w:p>
      <w:r>
        <w:t>Approvals are a shared platform primitive rather than bespoke status columns inside every application. The approval engine evaluates a published approval policy and creates an immutable request containing the subject, requested action, policy version, amount/context snapshot, eligible approvers and segregation-of-duties constraints.</w:t>
      </w:r>
    </w:p>
    <w:p>
      <w:r>
        <w:t>Policies support sequential stages, parallel approvals, any-one, all, quorum and conditional routing. Approver eligibility is recalculated at decision time to account for role changes, but the policy version and subject snapshot remain fixed. Self-approval restrictions and amount/currency thresholds are enforced server-side. A policy cannot use Studio to circumvent an owning module’s mandatory approval or posting rule.</w:t>
      </w:r>
    </w:p>
    <w:p>
      <w:r>
        <w:t>The final approval does not directly mutate a module table. It releases or invokes the published domain command that was waiting for approval. That command revalidates current business preconditions before committing, because the world may have changed while approval was pending.</w:t>
      </w:r>
    </w:p>
    <w:p>
      <w:pPr>
        <w:pStyle w:val="Heading2"/>
      </w:pPr>
      <w:r>
        <w:t>11.1 Approval race conditions</w:t>
      </w:r>
    </w:p>
    <w:p>
      <w:r>
        <w:t>Approvals use optimistic revision or row locking so two approvers acting at the same time cannot both move a request through the same stage incorrectly. Resolution and release of the waiting command happen through an idempotent transaction boundary.</w:t>
      </w:r>
    </w:p>
    <w:p>
      <w:pPr>
        <w:pStyle w:val="Heading2"/>
      </w:pPr>
      <w:r>
        <w:t>11.2 Delegation and absence</w:t>
      </w:r>
    </w:p>
    <w:p>
      <w:r>
        <w:t>Delegation is explicit, time-bounded and audited. It does not copy the delegator’s general permissions. The approval engine validates that a delegate is eligible for the specific policy and record at decision time.</w:t>
      </w:r>
    </w:p>
    <w:p>
      <w:pPr>
        <w:pStyle w:val="Heading1"/>
      </w:pPr>
      <w:r>
        <w:t>12. Events, outbox and event schemas</w:t>
      </w:r>
    </w:p>
    <w:p>
      <w:r>
        <w:t>Atlas should converge on one durable event envelope. Immediate in-process listeners may remain for non-critical local behaviour, but cross-module automation and integrations subscribe to the durable stream.</w:t>
      </w:r>
    </w:p>
    <w:p>
      <w:pPr>
        <w:pStyle w:val="CodeBlock"/>
        <w:shd w:fill="F1F5F9"/>
      </w:pPr>
      <w:r>
        <w:t>export type DomainEventEnvelope&lt;T&gt; = {</w:t>
        <w:br/>
        <w:t xml:space="preserve">  eventId: string;</w:t>
        <w:br/>
        <w:t xml:space="preserve">  eventName: string;</w:t>
        <w:br/>
        <w:t xml:space="preserve">  schemaVersion: number;</w:t>
        <w:br/>
        <w:t xml:space="preserve">  occurredAt: string;</w:t>
        <w:br/>
        <w:t xml:space="preserve">  organisationId: string;</w:t>
        <w:br/>
        <w:t xml:space="preserve">  actor?: ActorRef;</w:t>
        <w:br/>
        <w:t xml:space="preserve">  correlationId: string;</w:t>
        <w:br/>
        <w:t xml:space="preserve">  causationId?: string;</w:t>
        <w:br/>
        <w:t xml:space="preserve">  entity?: { type: string; id: string };</w:t>
        <w:br/>
        <w:t xml:space="preserve">  payload: T;</w:t>
        <w:br/>
        <w:t>};</w:t>
      </w:r>
    </w:p>
    <w:p>
      <w:pPr>
        <w:pStyle w:val="Heading2"/>
      </w:pPr>
      <w:r>
        <w:t>12.1 Delivery semantics</w:t>
      </w:r>
    </w:p>
    <w:p>
      <w:r>
        <w:t>Delivery is at-least-once. Consumers must be idempotent. Ordering is guaranteed only where the producer declares an ordering key and the dispatcher/consumer supports it. A flow may use record revision checks when strict sequential processing matters.</w:t>
      </w:r>
    </w:p>
    <w:p>
      <w:pPr>
        <w:pStyle w:val="Heading2"/>
      </w:pPr>
      <w:r>
        <w:t>12.2 Schema evolution</w:t>
      </w:r>
    </w:p>
    <w:p>
      <w:r>
        <w:t>Event schemas are versioned. Producers do not reinterpret old event payloads. Consumers declare supported versions. Breaking evolution uses a new schema version and compatibility adapter where appropriate. Stored event payloads are treated as historical facts.</w:t>
      </w:r>
    </w:p>
    <w:p>
      <w:pPr>
        <w:pStyle w:val="Heading1"/>
      </w:pPr>
      <w:r>
        <w:t>13. Integration architecture</w:t>
      </w:r>
    </w:p>
    <w:p>
      <w:r>
        <w:t>External systems connect through registered connector definitions rather than bespoke HTTP calls embedded in flows. A connector publishes operations, authentication requirements, request/response schemas, rate-limit policy and idempotency support. Tenant credentials are stored as secrets and referenced by opaque connection IDs.</w:t>
      </w:r>
    </w:p>
    <w:p>
      <w:pPr>
        <w:pStyle w:val="Heading2"/>
      </w:pPr>
      <w:r>
        <w:t>13.1 Connector operation states</w:t>
      </w:r>
    </w:p>
    <w:p>
      <w:pPr>
        <w:pStyle w:val="ListBullet"/>
      </w:pPr>
      <w:r>
        <w:t>Prepared: request validated and ready.</w:t>
      </w:r>
    </w:p>
    <w:p>
      <w:pPr>
        <w:pStyle w:val="ListBullet"/>
      </w:pPr>
      <w:r>
        <w:t>Sent: transport attempt initiated.</w:t>
      </w:r>
    </w:p>
    <w:p>
      <w:pPr>
        <w:pStyle w:val="ListBullet"/>
      </w:pPr>
      <w:r>
        <w:t>Confirmed: remote system provided a definitive success response.</w:t>
      </w:r>
    </w:p>
    <w:p>
      <w:pPr>
        <w:pStyle w:val="ListBullet"/>
      </w:pPr>
      <w:r>
        <w:t>Failed: definitive non-success response or terminal validation error.</w:t>
      </w:r>
    </w:p>
    <w:p>
      <w:pPr>
        <w:pStyle w:val="ListBullet"/>
      </w:pPr>
      <w:r>
        <w:t>Unknown: timeout/disconnect means Atlas cannot prove whether the remote side accepted the request.</w:t>
      </w:r>
    </w:p>
    <w:p>
      <w:pPr>
        <w:pStyle w:val="ListBullet"/>
      </w:pPr>
      <w:r>
        <w:t>Reconciled: later poll/webhook/manual evidence resolved an Unknown state.</w:t>
      </w:r>
    </w:p>
    <w:p>
      <w:pPr>
        <w:pStyle w:val="Heading2"/>
      </w:pPr>
      <w:r>
        <w:t>13.2 Webhooks</w:t>
      </w:r>
    </w:p>
    <w:p>
      <w:r>
        <w:t>Incoming webhooks verify provider signatures, map to a registered connection and tenant, store the raw evidence securely, deduplicate provider event IDs and then emit a normal Atlas domain/integration event. They do not call arbitrary module services directly.</w:t>
      </w:r>
    </w:p>
    <w:p>
      <w:pPr>
        <w:pStyle w:val="Heading2"/>
      </w:pPr>
      <w:r>
        <w:t>13.3 Import/export</w:t>
      </w:r>
    </w:p>
    <w:p>
      <w:r>
        <w:t>Studio may configure mappings for approved import/export contracts. Import still passes through owning-module validation and commands. Connections remains the staff-controlled onboarding surface for canonical bulk imports where Atlas Admin policy requires staff review.</w:t>
      </w:r>
    </w:p>
    <w:p>
      <w:pPr>
        <w:pStyle w:val="Heading1"/>
      </w:pPr>
      <w:r>
        <w:t>14. Security and governance</w:t>
      </w:r>
    </w:p>
    <w:p>
      <w:r>
        <w:t>Studio is powerful enough that security architecture must be stricter than an ordinary module.</w:t>
      </w:r>
    </w:p>
    <w:p>
      <w:r>
        <w:t>There are separate capabilities for viewing configuration, editing drafts, publishing, managing integrations, managing secrets, viewing run payloads, replaying failures, migrating instances and installing packages. Publication is a privileged action and may optionally require four-eyes approval for high-risk artefacts.</w:t>
      </w:r>
    </w:p>
    <w:p>
      <w:r>
        <w:t>Runtime execution uses a derived service identity that carries the initiating actor, tenant, configuration version and allowed operation. It does not become a superuser. When a flow was initiated by a user action, the domain command applies the appropriate actor policy. When a flow is genuinely system initiated, it uses an explicitly registered system principal and command policy. The audit trail records both the automation identity and the causal actor/event.</w:t>
      </w:r>
    </w:p>
    <w:p>
      <w:r>
        <w:t>Field-level sensitivity survives composition. A page cannot reveal a bank account merely because the page designer can see the field descriptor. Template merge, decision facts, integration mappings, logs and run history all apply the field’s classification policy. Secret values are never rendered back after entry.</w:t>
      </w:r>
    </w:p>
    <w:p>
      <w:pPr>
        <w:pStyle w:val="Heading2"/>
      </w:pPr>
      <w:r>
        <w:t>14.1 Suggested Studio capabilities</w:t>
      </w:r>
    </w:p>
    <w:p>
      <w:pPr>
        <w:pStyle w:val="ListBullet"/>
      </w:pPr>
      <w:r>
        <w:t>studio.definition.read, studio.definition.edit, studio.definition.publish</w:t>
      </w:r>
    </w:p>
    <w:p>
      <w:pPr>
        <w:pStyle w:val="ListBullet"/>
      </w:pPr>
      <w:r>
        <w:t>studio.run.read, studio.run.payload.read, studio.run.retry, studio.run.cancel</w:t>
      </w:r>
    </w:p>
    <w:p>
      <w:pPr>
        <w:pStyle w:val="ListBullet"/>
      </w:pPr>
      <w:r>
        <w:t>studio.integration.manage, studio.secret.manage</w:t>
      </w:r>
    </w:p>
    <w:p>
      <w:pPr>
        <w:pStyle w:val="ListBullet"/>
      </w:pPr>
      <w:r>
        <w:t>studio.package.export, studio.package.install</w:t>
      </w:r>
    </w:p>
    <w:p>
      <w:pPr>
        <w:pStyle w:val="ListBullet"/>
      </w:pPr>
      <w:r>
        <w:t>studio.instance.migrate, studio.audit.read</w:t>
      </w:r>
    </w:p>
    <w:p>
      <w:pPr>
        <w:pStyle w:val="Heading2"/>
      </w:pPr>
      <w:r>
        <w:t>14.2 Publish risk classes</w:t>
      </w:r>
    </w:p>
    <w:p>
      <w:r>
        <w:t>Definitions can be classified LOW, MEDIUM, HIGH and RESTRICTED based on the capabilities they invoke. A label/page change may be LOW. A flow that sends external messages is MEDIUM. A flow that can create credits, release manufacturing or change customer credit state is HIGH. RESTRICTED operations may be intentionally unavailable to Studio. Tenants can require independent publication approval for HIGH changes.</w:t>
      </w:r>
    </w:p>
    <w:p>
      <w:pPr>
        <w:pStyle w:val="Heading2"/>
      </w:pPr>
      <w:r>
        <w:t>14.3 Data loss prevention</w:t>
      </w:r>
    </w:p>
    <w:p>
      <w:r>
        <w:t>The compiler blocks sensitive fields from destinations whose integration contract does not permit that classification. Logs use structured redaction. Export packages exclude record data. Test mode refuses real production records for operations that could reveal restricted fields unless the actor has explicit test-with-live-data capability.</w:t>
      </w:r>
    </w:p>
    <w:p>
      <w:pPr>
        <w:pStyle w:val="Heading1"/>
      </w:pPr>
      <w:r>
        <w:t>15. Observability, Operations and Guardian</w:t>
      </w:r>
    </w:p>
    <w:p>
      <w:r>
        <w:t>Studio Operations is as important as Studio Builder. Administrators need a single place to see active, waiting, failed and completed runs across processes, flows, approvals and integrations.</w:t>
      </w:r>
    </w:p>
    <w:p>
      <w:r>
        <w:t>A run timeline shows causal event, configuration version, each node, attempts, duration, input summary, output summary, actor, external correlation identifiers and failure classification. From any affected record, an authorised user can open “Automation history” and see what touched the record. From a failed step, Studio offers only safe actions: retry, resume after correction, cancel, compensate where supported, or escalate to Guardian.</w:t>
      </w:r>
    </w:p>
    <w:p>
      <w:r>
        <w:t>Guardian consumes structured failure and health signals, not raw unrestricted business data. It can identify missing capability references, modules disabled after publication, high failure rates, stuck timers, dead-letter growth, slow queries, package drift and incompatible definitions. Automated repair may propose configuration or code changes, but production deployment and verification remain governed by Atlas release controls.</w:t>
      </w:r>
    </w:p>
    <w:p>
      <w:pPr>
        <w:pStyle w:val="Heading2"/>
      </w:pPr>
      <w:r>
        <w:t>15.1 Operational dashboards</w:t>
      </w:r>
    </w:p>
    <w:p>
      <w:pPr>
        <w:pStyle w:val="ListBullet"/>
      </w:pPr>
      <w:r>
        <w:t>Runs started/completed/failed by definition and version.</w:t>
      </w:r>
    </w:p>
    <w:p>
      <w:pPr>
        <w:pStyle w:val="ListBullet"/>
      </w:pPr>
      <w:r>
        <w:t>Age of waiting approvals and timers.</w:t>
      </w:r>
    </w:p>
    <w:p>
      <w:pPr>
        <w:pStyle w:val="ListBullet"/>
      </w:pPr>
      <w:r>
        <w:t>Retry volume and dead-letter count.</w:t>
      </w:r>
    </w:p>
    <w:p>
      <w:pPr>
        <w:pStyle w:val="ListBullet"/>
      </w:pPr>
      <w:r>
        <w:t>Connector success, timeout and Unknown-state rate.</w:t>
      </w:r>
    </w:p>
    <w:p>
      <w:pPr>
        <w:pStyle w:val="ListBullet"/>
      </w:pPr>
      <w:r>
        <w:t>P50/P95/P99 step duration and query duration.</w:t>
      </w:r>
    </w:p>
    <w:p>
      <w:pPr>
        <w:pStyle w:val="ListBullet"/>
      </w:pPr>
      <w:r>
        <w:t>Configurations with deprecated or soon-to-break dependencies.</w:t>
      </w:r>
    </w:p>
    <w:p>
      <w:pPr>
        <w:pStyle w:val="ListBullet"/>
      </w:pPr>
      <w:r>
        <w:t>Published definitions never executed, useful for clean-up review.</w:t>
      </w:r>
    </w:p>
    <w:p>
      <w:pPr>
        <w:pStyle w:val="Heading2"/>
      </w:pPr>
      <w:r>
        <w:t>15.2 “Why did Atlas do that?”</w:t>
      </w:r>
    </w:p>
    <w:p>
      <w:r>
        <w:t>Every automated action should be explainable from the affected record. The user sees the process/flow name, version, trigger, matched decision rule, approval, command outcome and link to run history subject to permissions. This is a major trust feature and should be designed into the data model rather than reconstructed later from logs.</w:t>
      </w:r>
    </w:p>
    <w:p>
      <w:pPr>
        <w:pStyle w:val="Heading1"/>
      </w:pPr>
      <w:r>
        <w:t>16. Packages, environments and upgrades</w:t>
      </w:r>
    </w:p>
    <w:p>
      <w:r>
        <w:t>Studio configuration must move cleanly between development, test and production without copy-and-paste. A Studio Package is a signed manifest containing stable definition identifiers, versions, dependency constraints, required Atlas modules, required capability-contract versions, data migrations, environment bindings and checksums.</w:t>
      </w:r>
    </w:p>
    <w:p>
      <w:r>
        <w:t>Export never includes secrets or live business data. Import performs a dry-run that reports missing modules, capability version mismatches, identifier conflicts, field collisions, breaking changes and required migrations. The installer builds a deployment plan. Publication is atomic at the metadata level: either the compatible set becomes active together or none of it does.</w:t>
      </w:r>
    </w:p>
    <w:p>
      <w:r>
        <w:t>Tenants may customise an installed package by creating local overlays at explicitly supported extension points. Package upgrades rebase those overlays against the new base and show conflicts. Directly editing vendor-owned published versions is not allowed because it destroys upgradeability.</w:t>
      </w:r>
    </w:p>
    <w:p>
      <w:pPr>
        <w:pStyle w:val="Heading2"/>
      </w:pPr>
      <w:r>
        <w:t>16.1 Environment model</w:t>
      </w:r>
    </w:p>
    <w:p>
      <w:r>
        <w:t>Atlas may initially have one production deployment, but configuration still benefits from environment semantics: draft/test context versus active production. As formal test/staging tenants are introduced, package promotion uses the same mechanism. Environment-specific values are bindings, not forks of the definition.</w:t>
      </w:r>
    </w:p>
    <w:p>
      <w:pPr>
        <w:pStyle w:val="Heading2"/>
      </w:pPr>
      <w:r>
        <w:t>16.2 Upgrade conflict example</w:t>
      </w:r>
    </w:p>
    <w:p>
      <w:r>
        <w:t>If a platform package adds a new required field to a base customer page and a tenant overlay replaced that same section, the upgrade dry-run reports the conflict and shows both structural diffs. Atlas does not silently choose one.</w:t>
      </w:r>
    </w:p>
    <w:p>
      <w:pPr>
        <w:pStyle w:val="Heading1"/>
      </w:pPr>
      <w:r>
        <w:t>17. Performance and scale</w:t>
      </w:r>
    </w:p>
    <w:p>
      <w:r>
        <w:t>Studio must not turn every Atlas page into an interpreter. Publishing compiles metadata into optimised runtime descriptors cached by organisation, definition and version. Page layouts, visibility predicates, decision tables and flow graphs should be prevalidated and normalised.</w:t>
      </w:r>
    </w:p>
    <w:p>
      <w:r>
        <w:t>Queries continue to use module-owned query services and indexed data. Custom fields that become operationally important can be promoted to indexed storage. The compiler should estimate expensive constructs such as unbounded related-record lists, N+1 queries, deeply nested conditions and high-cardinality analytics dimensions and reject or warn accordingly.</w:t>
      </w:r>
    </w:p>
    <w:p>
      <w:r>
        <w:t>Caches are invalidated by version publication rather than by editing drafts. Runtime keys include organisation and published version, so two tenants can safely run different configuration versions. A rollback activates a previously published compatible version rather than mutating history.</w:t>
      </w:r>
    </w:p>
    <w:p>
      <w:pPr>
        <w:pStyle w:val="Heading2"/>
      </w:pPr>
      <w:r>
        <w:t>17.1 Runtime budgets</w:t>
      </w:r>
    </w:p>
    <w:p>
      <w:r>
        <w:t>Each registry query may publish a cost class. Page compilation can enforce budgets so a record page cannot accidentally execute dozens of expensive cross-module queries. Related lists are paginated. Metrics use Analytics projections where appropriate. Flow fan-out has configured concurrency limits to protect the primary database and external providers.</w:t>
      </w:r>
    </w:p>
    <w:p>
      <w:pPr>
        <w:pStyle w:val="Heading2"/>
      </w:pPr>
      <w:r>
        <w:t>17.2 Database safety</w:t>
      </w:r>
    </w:p>
    <w:p>
      <w:r>
        <w:t>Workers use bounded batches and SKIP LOCKED-style claiming where supported. Long-running work never holds a business transaction open while waiting on external systems. Domain commands keep transactions short. Studio metadata publication avoids table-wide locks and uses additive migrations under normal release practice.</w:t>
      </w:r>
    </w:p>
    <w:p>
      <w:pPr>
        <w:pStyle w:val="Heading1"/>
      </w:pPr>
      <w:r>
        <w:t>18. Studio user experience</w:t>
      </w:r>
    </w:p>
    <w:p>
      <w:r>
        <w:t>Studio’s administrative experience should feel like a professional engineering workspace without requiring administrators to think like programmers. The left side is a catalogue of objects and capabilities. The centre is the structured editor. The right side is context: properties, validation, dependencies, history and test data. A persistent environment/version bar makes it impossible to forget whether the user is editing a draft or viewing production.</w:t>
      </w:r>
    </w:p>
    <w:p>
      <w:r>
        <w:t>Every builder has Test mode. Page Test renders against synthetic or explicitly selected permitted records. Decision Test shows matched rules. Flow Test executes in simulation where commands are replaced by contract-provided previews unless the administrator deliberately uses a sandbox tenant. Process Test walks transitions without corrupting real records.</w:t>
      </w:r>
    </w:p>
    <w:p>
      <w:r>
        <w:t>The platform should prefer sensible defaults and guided patterns over blank canvases. Templates such as approval flow, SLA escalation, order exception, customer onboarding and engineering change provide a starting structure while remaining ordinary Studio definitions underneath.</w:t>
      </w:r>
    </w:p>
    <w:p>
      <w:pPr>
        <w:pStyle w:val="Heading2"/>
      </w:pPr>
      <w:r>
        <w:t>18.1 Main navigation</w:t>
      </w:r>
    </w:p>
    <w:p>
      <w:pPr>
        <w:pStyle w:val="ListBullet"/>
      </w:pPr>
      <w:r>
        <w:t>Overview: health, recently changed, dependency warnings and active incidents.</w:t>
      </w:r>
    </w:p>
    <w:p>
      <w:pPr>
        <w:pStyle w:val="ListBullet"/>
      </w:pPr>
      <w:r>
        <w:t>Objects: entities, record types and custom fields.</w:t>
      </w:r>
    </w:p>
    <w:p>
      <w:pPr>
        <w:pStyle w:val="ListBullet"/>
      </w:pPr>
      <w:r>
        <w:t>Pages &amp; Views: structured UI definitions.</w:t>
      </w:r>
    </w:p>
    <w:p>
      <w:pPr>
        <w:pStyle w:val="ListBullet"/>
      </w:pPr>
      <w:r>
        <w:t>Processes: state machines and transition rules.</w:t>
      </w:r>
    </w:p>
    <w:p>
      <w:pPr>
        <w:pStyle w:val="ListBullet"/>
      </w:pPr>
      <w:r>
        <w:t>Flows: durable automation.</w:t>
      </w:r>
    </w:p>
    <w:p>
      <w:pPr>
        <w:pStyle w:val="ListBullet"/>
      </w:pPr>
      <w:r>
        <w:t>Decisions: rule tables and expression sets.</w:t>
      </w:r>
    </w:p>
    <w:p>
      <w:pPr>
        <w:pStyle w:val="ListBullet"/>
      </w:pPr>
      <w:r>
        <w:t>Approvals: policies and current requests.</w:t>
      </w:r>
    </w:p>
    <w:p>
      <w:pPr>
        <w:pStyle w:val="ListBullet"/>
      </w:pPr>
      <w:r>
        <w:t>Integrations: connections, mappings and webhooks.</w:t>
      </w:r>
    </w:p>
    <w:p>
      <w:pPr>
        <w:pStyle w:val="ListBullet"/>
      </w:pPr>
      <w:r>
        <w:t>Packages: installed components, upgrades and exports.</w:t>
      </w:r>
    </w:p>
    <w:p>
      <w:pPr>
        <w:pStyle w:val="ListBullet"/>
      </w:pPr>
      <w:r>
        <w:t>Operations: run history, failures, timers and dead letters.</w:t>
      </w:r>
    </w:p>
    <w:p>
      <w:pPr>
        <w:pStyle w:val="ListBullet"/>
      </w:pPr>
      <w:r>
        <w:t>Audit: configuration publication and administrative actions.</w:t>
      </w:r>
    </w:p>
    <w:p>
      <w:pPr>
        <w:pStyle w:val="Heading2"/>
      </w:pPr>
      <w:r>
        <w:t>18.2 Builder quality rules</w:t>
      </w:r>
    </w:p>
    <w:p>
      <w:pPr>
        <w:pStyle w:val="ListBullet"/>
      </w:pPr>
      <w:r>
        <w:t>No node/field is represented only by colour; status has text and icon semantics.</w:t>
      </w:r>
    </w:p>
    <w:p>
      <w:pPr>
        <w:pStyle w:val="ListBullet"/>
      </w:pPr>
      <w:r>
        <w:t>Keyboard navigation and accessible labels are mandatory.</w:t>
      </w:r>
    </w:p>
    <w:p>
      <w:pPr>
        <w:pStyle w:val="ListBullet"/>
      </w:pPr>
      <w:r>
        <w:t>Large flows support grouping, minimap, search and collapsed subflows instead of becoming an unreadable canvas.</w:t>
      </w:r>
    </w:p>
    <w:p>
      <w:pPr>
        <w:pStyle w:val="ListBullet"/>
      </w:pPr>
      <w:r>
        <w:t>Validation appears continuously and is summarised at publish time.</w:t>
      </w:r>
    </w:p>
    <w:p>
      <w:pPr>
        <w:pStyle w:val="ListBullet"/>
      </w:pPr>
      <w:r>
        <w:t>Every reference has “go to source” and “where used” navigation.</w:t>
      </w:r>
    </w:p>
    <w:p>
      <w:pPr>
        <w:pStyle w:val="ListBullet"/>
      </w:pPr>
      <w:r>
        <w:t>Destructive actions show impact analysis before confirmation.</w:t>
      </w:r>
    </w:p>
    <w:p>
      <w:pPr>
        <w:pStyle w:val="Heading1"/>
      </w:pPr>
      <w:r>
        <w:t>19. API and service boundaries</w:t>
      </w:r>
    </w:p>
    <w:p>
      <w:r>
        <w:t>Studio needs a small, stable service layer rather than allowing UI code to write metadata tables directly. Core use cases include createDraft, updateDraft, validateDraft, publishDraft, compareVersions, activateVersion, rollbackDefinition, exportPackage, dryRunInstall, installPackage, simulateDecision, simulateFlow, inspectRun, retryRun and migrateInstances.</w:t>
      </w:r>
    </w:p>
    <w:p>
      <w:r>
        <w:t>All mutation use cases begin with session resolution and capability enforcement. They validate tenant ownership, optimistic concurrency revision and configuration state. Compilation happens server-side. The client never submits a trusted compiled plan.</w:t>
      </w:r>
    </w:p>
    <w:p>
      <w:r>
        <w:t>A published plan includes resolved registry references and schema hashes. At runtime, Core checks that the referenced module capability contract remains compatible. A deployment that removes or breaks an in-use contract should fail a release compatibility gate before going live.</w:t>
      </w:r>
    </w:p>
    <w:p>
      <w:pPr>
        <w:pStyle w:val="Heading2"/>
      </w:pPr>
      <w:r>
        <w:t>19.1 No generic table API</w:t>
      </w:r>
    </w:p>
    <w:p>
      <w:r>
        <w:t>There should be no endpoint like `/api/studio/table/{name}/update`. Such an API would erase domain boundaries. Generic behaviour is built from typed capability descriptors whose invocations still execute owning-module code.</w:t>
      </w:r>
    </w:p>
    <w:p>
      <w:pPr>
        <w:pStyle w:val="Heading2"/>
      </w:pPr>
      <w:r>
        <w:t>19.2 Idempotency</w:t>
      </w:r>
    </w:p>
    <w:p>
      <w:r>
        <w:t>Every durable command node generates an idempotency key from run ID, step ID and attempt-independent operation identity. A retry of the same logical step reuses the same key. Domain commands that declare idempotency required persist or otherwise enforce deduplication at the appropriate boundary.</w:t>
      </w:r>
    </w:p>
    <w:p>
      <w:pPr>
        <w:pStyle w:val="Heading1"/>
      </w:pPr>
      <w:r>
        <w:t>20. Module integration specification</w:t>
      </w:r>
    </w:p>
    <w:p>
      <w:r>
        <w:t>The following is the minimum intended Studio relationship with each major Atlas domain. It is not permission for Studio to own these domains. Each module must publish only what its implementation can safely support.</w:t>
      </w:r>
    </w:p>
    <w:p>
      <w:pPr>
        <w:pStyle w:val="Heading2"/>
      </w:pPr>
      <w:r>
        <w:t>20.1 Customer Master (Core)</w:t>
      </w:r>
    </w:p>
    <w:p>
      <w:r>
        <w:rPr>
          <w:b/>
        </w:rPr>
        <w:t>Ownership.</w:t>
      </w:r>
      <w:r>
        <w:t xml:space="preserve"> Party, contacts, addresses, commercial settings, credit profile and shared customer identity.</w:t>
      </w:r>
    </w:p>
    <w:p>
      <w:r>
        <w:rPr>
          <w:b/>
        </w:rPr>
        <w:t>Studio exposure.</w:t>
      </w:r>
      <w:r>
        <w:t xml:space="preserve"> entity/customer read projections, record surfaces, extension-field targets, customer events, template context and safe master-data commands.</w:t>
      </w:r>
    </w:p>
    <w:p>
      <w:r>
        <w:rPr>
          <w:b/>
        </w:rPr>
        <w:t>Hard boundary.</w:t>
      </w:r>
      <w:r>
        <w:t xml:space="preserve"> bank reveal, credit-control invariants, tenant identity ownership and canonical-party creation rules.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 CRM</w:t>
      </w:r>
    </w:p>
    <w:p>
      <w:r>
        <w:rPr>
          <w:b/>
        </w:rPr>
        <w:t>Ownership.</w:t>
      </w:r>
      <w:r>
        <w:t xml:space="preserve"> Prospects, opportunities/deals, pipeline, activities and commercial relationships.</w:t>
      </w:r>
    </w:p>
    <w:p>
      <w:r>
        <w:rPr>
          <w:b/>
        </w:rPr>
        <w:t>Studio exposure.</w:t>
      </w:r>
      <w:r>
        <w:t xml:space="preserve"> deal/process states, assignment commands, pipeline facts, activities, opportunity events, record actions, decisions for qualification and approvals.</w:t>
      </w:r>
    </w:p>
    <w:p>
      <w:r>
        <w:rPr>
          <w:b/>
        </w:rPr>
        <w:t>Hard boundary.</w:t>
      </w:r>
      <w:r>
        <w:t xml:space="preserve"> winning/losing or converting a deal must use CRM commands and preserve Sales hand-off integrity.</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20.3 Sales</w:t>
      </w:r>
    </w:p>
    <w:p>
      <w:r>
        <w:rPr>
          <w:b/>
        </w:rPr>
        <w:t>Ownership.</w:t>
      </w:r>
      <w:r>
        <w:t xml:space="preserve"> Quotes, sales orders, pricing application, holds, amendments and commercial order lifecycle.</w:t>
      </w:r>
    </w:p>
    <w:p>
      <w:r>
        <w:rPr>
          <w:b/>
        </w:rPr>
        <w:t>Studio exposure.</w:t>
      </w:r>
      <w:r>
        <w:t xml:space="preserve"> quote/order entities, commands, order events, extension surfaces, approval hooks, documents, metrics and fulfilment hand-off facts.</w:t>
      </w:r>
    </w:p>
    <w:p>
      <w:r>
        <w:rPr>
          <w:b/>
        </w:rPr>
        <w:t>Hard boundary.</w:t>
      </w:r>
      <w:r>
        <w:t xml:space="preserve"> credit checks, order confirmation, cancellation, invoice eligibility and pricing invariants cannot be recreated by Studio.</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20.4 Products</w:t>
      </w:r>
    </w:p>
    <w:p>
      <w:r>
        <w:rPr>
          <w:b/>
        </w:rPr>
        <w:t>Ownership.</w:t>
      </w:r>
      <w:r>
        <w:t xml:space="preserve"> Canonical product identity, specifications, attributes, make/buy and product relationships.</w:t>
      </w:r>
    </w:p>
    <w:p>
      <w:r>
        <w:rPr>
          <w:b/>
        </w:rPr>
        <w:t>Studio exposure.</w:t>
      </w:r>
      <w:r>
        <w:t xml:space="preserve"> product read models, allowed extension fields, product record surfaces, product lifecycle events and template/analytics facts.</w:t>
      </w:r>
    </w:p>
    <w:p>
      <w:r>
        <w:rPr>
          <w:b/>
        </w:rPr>
        <w:t>Hard boundary.</w:t>
      </w:r>
      <w:r>
        <w:t xml:space="preserve"> BOM/routing ownership that affects manufacturing costing or planning must remain in the relevant domain engine.</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20.5 Pricing</w:t>
      </w:r>
    </w:p>
    <w:p>
      <w:r>
        <w:rPr>
          <w:b/>
        </w:rPr>
        <w:t>Ownership.</w:t>
      </w:r>
      <w:r>
        <w:t xml:space="preserve"> Price lists, agreements, pricing calculations and commercial rules.</w:t>
      </w:r>
    </w:p>
    <w:p>
      <w:r>
        <w:rPr>
          <w:b/>
        </w:rPr>
        <w:t>Studio exposure.</w:t>
      </w:r>
      <w:r>
        <w:t xml:space="preserve"> price-list selectors, pricing facts, approval commands and explanation outputs.</w:t>
      </w:r>
    </w:p>
    <w:p>
      <w:r>
        <w:rPr>
          <w:b/>
        </w:rPr>
        <w:t>Hard boundary.</w:t>
      </w:r>
      <w:r>
        <w:t xml:space="preserve"> Studio cannot write a calculated selling price directly onto an order to bypass the pricing engine.</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20.6 Inventory / Stock</w:t>
      </w:r>
    </w:p>
    <w:p>
      <w:r>
        <w:rPr>
          <w:b/>
        </w:rPr>
        <w:t>Ownership.</w:t>
      </w:r>
      <w:r>
        <w:t xml:space="preserve"> Warehouses, locations, availability, lots/serials, movements, reservations and stock truth.</w:t>
      </w:r>
    </w:p>
    <w:p>
      <w:r>
        <w:rPr>
          <w:b/>
        </w:rPr>
        <w:t>Studio exposure.</w:t>
      </w:r>
      <w:r>
        <w:t xml:space="preserve"> availability queries, reservation/movement commands, stock events, exception facts and record surfaces.</w:t>
      </w:r>
    </w:p>
    <w:p>
      <w:r>
        <w:rPr>
          <w:b/>
        </w:rPr>
        <w:t>Hard boundary.</w:t>
      </w:r>
      <w:r>
        <w:t xml:space="preserve"> on-hand quantity is never an editable custom field; every movement must pass Inventory invariants and audit.</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20.7 Production Planning</w:t>
      </w:r>
    </w:p>
    <w:p>
      <w:r>
        <w:rPr>
          <w:b/>
        </w:rPr>
        <w:t>Ownership.</w:t>
      </w:r>
      <w:r>
        <w:t xml:space="preserve"> Demand, supply coverage, planning proposals, capacity signals and manufacturing demand.</w:t>
      </w:r>
    </w:p>
    <w:p>
      <w:r>
        <w:rPr>
          <w:b/>
        </w:rPr>
        <w:t>Studio exposure.</w:t>
      </w:r>
      <w:r>
        <w:t xml:space="preserve"> planning queries, scenario facts, publication commands, exception events and decision inputs.</w:t>
      </w:r>
    </w:p>
    <w:p>
      <w:r>
        <w:rPr>
          <w:b/>
        </w:rPr>
        <w:t>Hard boundary.</w:t>
      </w:r>
      <w:r>
        <w:t xml:space="preserve"> protected ATP/CTP or MRP logic stays in the planning/manufacturing engine and cannot be duplicated in decision tables.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20.8 Plan</w:t>
      </w:r>
    </w:p>
    <w:p>
      <w:r>
        <w:rPr>
          <w:b/>
        </w:rPr>
        <w:t>Ownership.</w:t>
      </w:r>
      <w:r>
        <w:t xml:space="preserve"> Targets, forecasts, scenarios, business plans and live-actual comparisons.</w:t>
      </w:r>
    </w:p>
    <w:p>
      <w:r>
        <w:rPr>
          <w:b/>
        </w:rPr>
        <w:t>Studio exposure.</w:t>
      </w:r>
      <w:r>
        <w:t xml:space="preserve"> plan inputs, approval/publication events, dashboard facts, record surfaces and reusable decision inputs.</w:t>
      </w:r>
    </w:p>
    <w:p>
      <w:r>
        <w:rPr>
          <w:b/>
        </w:rPr>
        <w:t>Hard boundary.</w:t>
      </w:r>
      <w:r>
        <w:t xml:space="preserve"> actuals remain sourced from owning modules rather than copied into Studio.</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20.9 S&amp;OP</w:t>
      </w:r>
    </w:p>
    <w:p>
      <w:r>
        <w:rPr>
          <w:b/>
        </w:rPr>
        <w:t>Ownership.</w:t>
      </w:r>
      <w:r>
        <w:t xml:space="preserve"> Planning cycles, immutable versions, consensus demand, risks, actions and publication.</w:t>
      </w:r>
    </w:p>
    <w:p>
      <w:r>
        <w:rPr>
          <w:b/>
        </w:rPr>
        <w:t>Studio exposure.</w:t>
      </w:r>
      <w:r>
        <w:t xml:space="preserve"> cycle events, approved-version facts, review tasks, approvals and publication commands.</w:t>
      </w:r>
    </w:p>
    <w:p>
      <w:r>
        <w:rPr>
          <w:b/>
        </w:rPr>
        <w:t>Hard boundary.</w:t>
      </w:r>
      <w:r>
        <w:t xml:space="preserve"> published consensus versions remain immutable and Manufacturing demand lineage must be preserved.</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20.10 Manufacturing</w:t>
      </w:r>
    </w:p>
    <w:p>
      <w:r>
        <w:rPr>
          <w:b/>
        </w:rPr>
        <w:t>Ownership.</w:t>
      </w:r>
      <w:r>
        <w:t xml:space="preserve"> Production orders, work centres, machines, execution, WIP and completion.</w:t>
      </w:r>
    </w:p>
    <w:p>
      <w:r>
        <w:rPr>
          <w:b/>
        </w:rPr>
        <w:t>Studio exposure.</w:t>
      </w:r>
      <w:r>
        <w:t xml:space="preserve"> production-order facts, release/complete commands, machine/work-centre queries, execution events and exception flows.</w:t>
      </w:r>
    </w:p>
    <w:p>
      <w:r>
        <w:rPr>
          <w:b/>
        </w:rPr>
        <w:t>Hard boundary.</w:t>
      </w:r>
      <w:r>
        <w:t xml:space="preserve"> material issue, completion, WIP and costing mutations stay inside Manufacturing/Inventory/Finance use cases.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20.11 Engineering / PLM</w:t>
      </w:r>
    </w:p>
    <w:p>
      <w:r>
        <w:rPr>
          <w:b/>
        </w:rPr>
        <w:t>Ownership.</w:t>
      </w:r>
      <w:r>
        <w:t xml:space="preserve"> Engineering changes, revisions, product technical lifecycle and controlled releases.</w:t>
      </w:r>
    </w:p>
    <w:p>
      <w:r>
        <w:rPr>
          <w:b/>
        </w:rPr>
        <w:t>Studio exposure.</w:t>
      </w:r>
      <w:r>
        <w:t xml:space="preserve"> change-request process templates, revision events, document surfaces, approval policies and release commands.</w:t>
      </w:r>
    </w:p>
    <w:p>
      <w:r>
        <w:rPr>
          <w:b/>
        </w:rPr>
        <w:t>Hard boundary.</w:t>
      </w:r>
      <w:r>
        <w:t xml:space="preserve"> released technical revisions are immutable according to PLM policy; Studio cannot rewrite history.</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20.12 Quality</w:t>
      </w:r>
    </w:p>
    <w:p>
      <w:r>
        <w:rPr>
          <w:b/>
        </w:rPr>
        <w:t>Ownership.</w:t>
      </w:r>
      <w:r>
        <w:t xml:space="preserve"> Inspections, non-conformances, CAPA, control plans and quality holds.</w:t>
      </w:r>
    </w:p>
    <w:p>
      <w:r>
        <w:rPr>
          <w:b/>
        </w:rPr>
        <w:t>Studio exposure.</w:t>
      </w:r>
      <w:r>
        <w:t xml:space="preserve"> NCR/CAPA process states, inspection facts, quality events, approvals and cross-links to products/orders/suppliers.</w:t>
      </w:r>
    </w:p>
    <w:p>
      <w:r>
        <w:rPr>
          <w:b/>
        </w:rPr>
        <w:t>Hard boundary.</w:t>
      </w:r>
      <w:r>
        <w:t xml:space="preserve"> quality disposition and hold release require Quality commands and appropriate segregation of duties.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20.13 Finance</w:t>
      </w:r>
    </w:p>
    <w:p>
      <w:r>
        <w:rPr>
          <w:b/>
        </w:rPr>
        <w:t>Ownership.</w:t>
      </w:r>
      <w:r>
        <w:t xml:space="preserve"> GL, AR/AP, invoices, credits, journals, purchasing financial control, payments and accounting periods.</w:t>
      </w:r>
    </w:p>
    <w:p>
      <w:r>
        <w:rPr>
          <w:b/>
        </w:rPr>
        <w:t>Studio exposure.</w:t>
      </w:r>
      <w:r>
        <w:t xml:space="preserve"> read projections, draft-document commands, approval requests, posted-document events, metrics and template contexts.</w:t>
      </w:r>
    </w:p>
    <w:p>
      <w:r>
        <w:rPr>
          <w:b/>
        </w:rPr>
        <w:t>Hard boundary.</w:t>
      </w:r>
      <w:r>
        <w:t xml:space="preserve"> posted accounting records, journals, tax calculations, bank data and period controls are not directly writable by Studio.</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20.14 Procurement / Purchasing within Finance</w:t>
      </w:r>
    </w:p>
    <w:p>
      <w:r>
        <w:rPr>
          <w:b/>
        </w:rPr>
        <w:t>Ownership.</w:t>
      </w:r>
      <w:r>
        <w:t xml:space="preserve"> Supplier purchasing, requisitions, purchase orders, receipts and approvals.</w:t>
      </w:r>
    </w:p>
    <w:p>
      <w:r>
        <w:rPr>
          <w:b/>
        </w:rPr>
        <w:t>Studio exposure.</w:t>
      </w:r>
      <w:r>
        <w:t xml:space="preserve"> request/PO processes, supplier facts, spend approvals, receipt hand-offs and events.</w:t>
      </w:r>
    </w:p>
    <w:p>
      <w:r>
        <w:rPr>
          <w:b/>
        </w:rPr>
        <w:t>Hard boundary.</w:t>
      </w:r>
      <w:r>
        <w:t xml:space="preserve"> supplier liabilities and receiving/accounting consequences stay in Finance and Inventory commands.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20.15 Logistics</w:t>
      </w:r>
    </w:p>
    <w:p>
      <w:r>
        <w:rPr>
          <w:b/>
        </w:rPr>
        <w:t>Ownership.</w:t>
      </w:r>
      <w:r>
        <w:t xml:space="preserve"> Fulfilments, picks, packs, shipments, receipts, returns and transfers.</w:t>
      </w:r>
    </w:p>
    <w:p>
      <w:r>
        <w:rPr>
          <w:b/>
        </w:rPr>
        <w:t>Studio exposure.</w:t>
      </w:r>
      <w:r>
        <w:t xml:space="preserve"> shipment/fulfilment entities, carrier decisions, dispatch commands, delivery events, exception flows and customer-facing template facts.</w:t>
      </w:r>
    </w:p>
    <w:p>
      <w:r>
        <w:rPr>
          <w:b/>
        </w:rPr>
        <w:t>Hard boundary.</w:t>
      </w:r>
      <w:r>
        <w:t xml:space="preserve"> dispatch and receipt commands must preserve inventory movement and finance hand-off guarantees.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20.16 Customer Service</w:t>
      </w:r>
    </w:p>
    <w:p>
      <w:r>
        <w:rPr>
          <w:b/>
        </w:rPr>
        <w:t>Ownership.</w:t>
      </w:r>
      <w:r>
        <w:t xml:space="preserve"> Customer cases, complaint ownership, investigations, remedies and service recovery.</w:t>
      </w:r>
    </w:p>
    <w:p>
      <w:r>
        <w:rPr>
          <w:b/>
        </w:rPr>
        <w:t>Studio exposure.</w:t>
      </w:r>
      <w:r>
        <w:t xml:space="preserve"> case types, processes, SLA decisions, assignment, cross-team queries, remedy requests, CSAT triggers and record pages.</w:t>
      </w:r>
    </w:p>
    <w:p>
      <w:r>
        <w:rPr>
          <w:b/>
        </w:rPr>
        <w:t>Hard boundary.</w:t>
      </w:r>
      <w:r>
        <w:t xml:space="preserve"> Finance credits, Sales replacements, Logistics returns and Quality NCRs are requested through their published contracts, not copied into Service.</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20.17 Tickets</w:t>
      </w:r>
    </w:p>
    <w:p>
      <w:r>
        <w:rPr>
          <w:b/>
        </w:rPr>
        <w:t>Ownership.</w:t>
      </w:r>
      <w:r>
        <w:t xml:space="preserve"> Internal service work, queues and departmental requests.</w:t>
      </w:r>
    </w:p>
    <w:p>
      <w:r>
        <w:rPr>
          <w:b/>
        </w:rPr>
        <w:t>Studio exposure.</w:t>
      </w:r>
      <w:r>
        <w:t xml:space="preserve"> ticket types, routing decisions, queues, SLA processes, notifications and linked-record surfaces.</w:t>
      </w:r>
    </w:p>
    <w:p>
      <w:r>
        <w:rPr>
          <w:b/>
        </w:rPr>
        <w:t>Hard boundary.</w:t>
      </w:r>
      <w:r>
        <w:t xml:space="preserve"> restricted queue ownership and visibility cannot be widened by a Studio page or flow.</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20.18 CSAT</w:t>
      </w:r>
    </w:p>
    <w:p>
      <w:r>
        <w:rPr>
          <w:b/>
        </w:rPr>
        <w:t>Ownership.</w:t>
      </w:r>
      <w:r>
        <w:t xml:space="preserve"> Customer satisfaction surveys and immutable responses.</w:t>
      </w:r>
    </w:p>
    <w:p>
      <w:r>
        <w:rPr>
          <w:b/>
        </w:rPr>
        <w:t>Studio exposure.</w:t>
      </w:r>
      <w:r>
        <w:t xml:space="preserve"> survey triggers, template variables, result events and analytics measures.</w:t>
      </w:r>
    </w:p>
    <w:p>
      <w:r>
        <w:rPr>
          <w:b/>
        </w:rPr>
        <w:t>Hard boundary.</w:t>
      </w:r>
      <w:r>
        <w:t xml:space="preserve"> responses are evidence and remain immutable after capture.</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20.19 Projects</w:t>
      </w:r>
    </w:p>
    <w:p>
      <w:r>
        <w:rPr>
          <w:b/>
        </w:rPr>
        <w:t>Ownership.</w:t>
      </w:r>
      <w:r>
        <w:t xml:space="preserve"> Projects, tasks, dependencies, milestones, files and delivery work.</w:t>
      </w:r>
    </w:p>
    <w:p>
      <w:r>
        <w:rPr>
          <w:b/>
        </w:rPr>
        <w:t>Studio exposure.</w:t>
      </w:r>
      <w:r>
        <w:t xml:space="preserve"> project/task processes, templates, assignments, milestones, events and record extensions.</w:t>
      </w:r>
    </w:p>
    <w:p>
      <w:r>
        <w:rPr>
          <w:b/>
        </w:rPr>
        <w:t>Hard boundary.</w:t>
      </w:r>
      <w:r>
        <w:t xml:space="preserve"> Studio may configure work patterns but must not create an alternative generic task system that competes with Projects/Teams.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20.20 Teams / Team Planner</w:t>
      </w:r>
    </w:p>
    <w:p>
      <w:r>
        <w:rPr>
          <w:b/>
        </w:rPr>
        <w:t>Ownership.</w:t>
      </w:r>
      <w:r>
        <w:t xml:space="preserve"> Cross-team assignments and collaborative operational tasks.</w:t>
      </w:r>
    </w:p>
    <w:p>
      <w:r>
        <w:rPr>
          <w:b/>
        </w:rPr>
        <w:t>Studio exposure.</w:t>
      </w:r>
      <w:r>
        <w:t xml:space="preserve"> assignment commands, task events, views and lightweight approval/action patterns.</w:t>
      </w:r>
    </w:p>
    <w:p>
      <w:r>
        <w:rPr>
          <w:b/>
        </w:rPr>
        <w:t>Hard boundary.</w:t>
      </w:r>
      <w:r>
        <w:t xml:space="preserve"> employee visibility and management scope still come from HR/permissions.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20.21 Meetings</w:t>
      </w:r>
    </w:p>
    <w:p>
      <w:r>
        <w:rPr>
          <w:b/>
        </w:rPr>
        <w:t>Ownership.</w:t>
      </w:r>
      <w:r>
        <w:t xml:space="preserve"> Meetings, agendas, actions and calendar-related collaboration.</w:t>
      </w:r>
    </w:p>
    <w:p>
      <w:r>
        <w:rPr>
          <w:b/>
        </w:rPr>
        <w:t>Studio exposure.</w:t>
      </w:r>
      <w:r>
        <w:t xml:space="preserve"> meeting templates, action generation, reminders, linked-record surfaces and events.</w:t>
      </w:r>
    </w:p>
    <w:p>
      <w:r>
        <w:rPr>
          <w:b/>
        </w:rPr>
        <w:t>Hard boundary.</w:t>
      </w:r>
      <w:r>
        <w:t xml:space="preserve"> external calendar synchronisation uses registered connectors and explicit user consent.</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20.22 Marketing</w:t>
      </w:r>
    </w:p>
    <w:p>
      <w:r>
        <w:rPr>
          <w:b/>
        </w:rPr>
        <w:t>Ownership.</w:t>
      </w:r>
      <w:r>
        <w:t xml:space="preserve"> Campaigns, segments, forms, touchpoints, consent and MQL lifecycle.</w:t>
      </w:r>
    </w:p>
    <w:p>
      <w:r>
        <w:rPr>
          <w:b/>
        </w:rPr>
        <w:t>Studio exposure.</w:t>
      </w:r>
      <w:r>
        <w:t xml:space="preserve"> campaign events, lead-routing decisions, form triggers, consent facts, templates and CRM hand-off commands.</w:t>
      </w:r>
    </w:p>
    <w:p>
      <w:r>
        <w:rPr>
          <w:b/>
        </w:rPr>
        <w:t>Hard boundary.</w:t>
      </w:r>
      <w:r>
        <w:t xml:space="preserve"> consent and suppression rules remain mandatory and cannot be bypassed by automation.</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20.23 People / HR</w:t>
      </w:r>
    </w:p>
    <w:p>
      <w:r>
        <w:rPr>
          <w:b/>
        </w:rPr>
        <w:t>Ownership.</w:t>
      </w:r>
      <w:r>
        <w:t xml:space="preserve"> Employees, employment records, holidays, performance, conduct and people data.</w:t>
      </w:r>
    </w:p>
    <w:p>
      <w:r>
        <w:rPr>
          <w:b/>
        </w:rPr>
        <w:t>Studio exposure.</w:t>
      </w:r>
      <w:r>
        <w:t xml:space="preserve"> employee-safe projections, leave processes, manager approvals, onboarding/offboarding flows and HR events.</w:t>
      </w:r>
    </w:p>
    <w:p>
      <w:r>
        <w:rPr>
          <w:b/>
        </w:rPr>
        <w:t>Hard boundary.</w:t>
      </w:r>
      <w:r>
        <w:t xml:space="preserve"> confidential notes, conduct, medical or payroll-sensitive data require narrow field classifications and capabilities.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20.24 Payroll</w:t>
      </w:r>
    </w:p>
    <w:p>
      <w:r>
        <w:rPr>
          <w:b/>
        </w:rPr>
        <w:t>Ownership.</w:t>
      </w:r>
      <w:r>
        <w:t xml:space="preserve"> Pay runs, statutory calculation outputs, payslips and payroll release.</w:t>
      </w:r>
    </w:p>
    <w:p>
      <w:r>
        <w:rPr>
          <w:b/>
        </w:rPr>
        <w:t>Studio exposure.</w:t>
      </w:r>
      <w:r>
        <w:t xml:space="preserve"> run status events, approved input commands, employee self-service surfaces and reporting facts.</w:t>
      </w:r>
    </w:p>
    <w:p>
      <w:r>
        <w:rPr>
          <w:b/>
        </w:rPr>
        <w:t>Hard boundary.</w:t>
      </w:r>
      <w:r>
        <w:t xml:space="preserve"> calculation and finalisation remain in Payroll; Studio cannot compute or edit final statutory results.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20.25 Staff Scheduling</w:t>
      </w:r>
    </w:p>
    <w:p>
      <w:r>
        <w:rPr>
          <w:b/>
        </w:rPr>
        <w:t>Ownership.</w:t>
      </w:r>
      <w:r>
        <w:t xml:space="preserve"> Rotas, shifts, availability and hours planning.</w:t>
      </w:r>
    </w:p>
    <w:p>
      <w:r>
        <w:rPr>
          <w:b/>
        </w:rPr>
        <w:t>Studio exposure.</w:t>
      </w:r>
      <w:r>
        <w:t xml:space="preserve"> shift templates, assignment flows, availability decisions and schedule events.</w:t>
      </w:r>
    </w:p>
    <w:p>
      <w:r>
        <w:rPr>
          <w:b/>
        </w:rPr>
        <w:t>Hard boundary.</w:t>
      </w:r>
      <w:r>
        <w:t xml:space="preserve"> contracted hours and HR employment constraints must be validated against HR.</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20.26 Safety</w:t>
      </w:r>
    </w:p>
    <w:p>
      <w:r>
        <w:rPr>
          <w:b/>
        </w:rPr>
        <w:t>Ownership.</w:t>
      </w:r>
      <w:r>
        <w:t xml:space="preserve"> Hazards, incidents, risk assessments, permits, training and corrective actions.</w:t>
      </w:r>
    </w:p>
    <w:p>
      <w:r>
        <w:rPr>
          <w:b/>
        </w:rPr>
        <w:t>Studio exposure.</w:t>
      </w:r>
      <w:r>
        <w:t xml:space="preserve"> incident/risk processes, escalation flows, permit approvals, expiry events and record pages.</w:t>
      </w:r>
    </w:p>
    <w:p>
      <w:r>
        <w:rPr>
          <w:b/>
        </w:rPr>
        <w:t>Hard boundary.</w:t>
      </w:r>
      <w:r>
        <w:t xml:space="preserve"> legally significant safety records and permit/isolation states use Safety commands with complete audit.</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20.27 Maintenance</w:t>
      </w:r>
    </w:p>
    <w:p>
      <w:r>
        <w:rPr>
          <w:b/>
        </w:rPr>
        <w:t>Ownership.</w:t>
      </w:r>
      <w:r>
        <w:t xml:space="preserve"> Assets, maintenance plans, work orders, inspections and downtime.</w:t>
      </w:r>
    </w:p>
    <w:p>
      <w:r>
        <w:rPr>
          <w:b/>
        </w:rPr>
        <w:t>Studio exposure.</w:t>
      </w:r>
      <w:r>
        <w:t xml:space="preserve"> maintenance triggers, asset facts, work-order processes, spare-part requests and machine events.</w:t>
      </w:r>
    </w:p>
    <w:p>
      <w:r>
        <w:rPr>
          <w:b/>
        </w:rPr>
        <w:t>Hard boundary.</w:t>
      </w:r>
      <w:r>
        <w:t xml:space="preserve"> asset/machine operational state must remain consistent with Manufacturing and Safety where interlocks exist.</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20.28 Fleet</w:t>
      </w:r>
    </w:p>
    <w:p>
      <w:r>
        <w:rPr>
          <w:b/>
        </w:rPr>
        <w:t>Ownership.</w:t>
      </w:r>
      <w:r>
        <w:t xml:space="preserve"> Vehicles, inspections, compliance, maintenance and operating records.</w:t>
      </w:r>
    </w:p>
    <w:p>
      <w:r>
        <w:rPr>
          <w:b/>
        </w:rPr>
        <w:t>Studio exposure.</w:t>
      </w:r>
      <w:r>
        <w:t xml:space="preserve"> vehicle events, expiry reminders, maintenance processes, driver/vehicle decisions and record surfaces.</w:t>
      </w:r>
    </w:p>
    <w:p>
      <w:r>
        <w:rPr>
          <w:b/>
        </w:rPr>
        <w:t>Hard boundary.</w:t>
      </w:r>
      <w:r>
        <w:t xml:space="preserve"> driver eligibility and regulated evidence cannot be weakened by tenant configuration.</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20.29 Field Service</w:t>
      </w:r>
    </w:p>
    <w:p>
      <w:r>
        <w:rPr>
          <w:b/>
        </w:rPr>
        <w:t>Ownership.</w:t>
      </w:r>
      <w:r>
        <w:t xml:space="preserve"> Jobs, visits, engineers, customer-site work and service outcomes.</w:t>
      </w:r>
    </w:p>
    <w:p>
      <w:r>
        <w:rPr>
          <w:b/>
        </w:rPr>
        <w:t>Studio exposure.</w:t>
      </w:r>
      <w:r>
        <w:t xml:space="preserve"> job processes, scheduling facts, mobile page variants, completion commands, parts/return hand-offs and customer notifications.</w:t>
      </w:r>
    </w:p>
    <w:p>
      <w:r>
        <w:rPr>
          <w:b/>
        </w:rPr>
        <w:t>Hard boundary.</w:t>
      </w:r>
      <w:r>
        <w:t xml:space="preserve"> stock consumption, invoicing and customer remedy effects use their owning module contracts.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20.30 Analytics</w:t>
      </w:r>
    </w:p>
    <w:p>
      <w:r>
        <w:rPr>
          <w:b/>
        </w:rPr>
        <w:t>Ownership.</w:t>
      </w:r>
      <w:r>
        <w:t xml:space="preserve"> Dashboards, metrics, dimensions and reporting views.</w:t>
      </w:r>
    </w:p>
    <w:p>
      <w:r>
        <w:rPr>
          <w:b/>
        </w:rPr>
        <w:t>Studio exposure.</w:t>
      </w:r>
      <w:r>
        <w:t xml:space="preserve"> registered metrics/dimensions, Studio-defined dashboards, filters, scheduled output and drill-through links.</w:t>
      </w:r>
    </w:p>
    <w:p>
      <w:r>
        <w:rPr>
          <w:b/>
        </w:rPr>
        <w:t>Hard boundary.</w:t>
      </w:r>
      <w:r>
        <w:t xml:space="preserve"> Analytics reads authorised projections; it does not become a backdoor to private tables or sensitive fields.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20.31 KPIs / Goals</w:t>
      </w:r>
    </w:p>
    <w:p>
      <w:r>
        <w:rPr>
          <w:b/>
        </w:rPr>
        <w:t>Ownership.</w:t>
      </w:r>
      <w:r>
        <w:t xml:space="preserve"> Targets, measures, scorecards and organisational performance.</w:t>
      </w:r>
    </w:p>
    <w:p>
      <w:r>
        <w:rPr>
          <w:b/>
        </w:rPr>
        <w:t>Studio exposure.</w:t>
      </w:r>
      <w:r>
        <w:t xml:space="preserve"> metric bindings, target processes, alerts and dashboard components.</w:t>
      </w:r>
    </w:p>
    <w:p>
      <w:r>
        <w:rPr>
          <w:b/>
        </w:rPr>
        <w:t>Hard boundary.</w:t>
      </w:r>
      <w:r>
        <w:t xml:space="preserve"> source actuals remain owned by the modules that publish the metrics.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20.32 Templates</w:t>
      </w:r>
    </w:p>
    <w:p>
      <w:r>
        <w:rPr>
          <w:b/>
        </w:rPr>
        <w:t>Ownership.</w:t>
      </w:r>
      <w:r>
        <w:t xml:space="preserve"> Reusable business documents and generated artefacts.</w:t>
      </w:r>
    </w:p>
    <w:p>
      <w:r>
        <w:rPr>
          <w:b/>
        </w:rPr>
        <w:t>Studio exposure.</w:t>
      </w:r>
      <w:r>
        <w:t xml:space="preserve"> document definitions, merge contexts, generation commands, signature/share events and record surfaces.</w:t>
      </w:r>
    </w:p>
    <w:p>
      <w:r>
        <w:rPr>
          <w:b/>
        </w:rPr>
        <w:t>Hard boundary.</w:t>
      </w:r>
      <w:r>
        <w:t xml:space="preserve"> template merge can only use whitelisted fields the actor is allowed to access.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20.33 Automations</w:t>
      </w:r>
    </w:p>
    <w:p>
      <w:r>
        <w:rPr>
          <w:b/>
        </w:rPr>
        <w:t>Ownership.</w:t>
      </w:r>
      <w:r>
        <w:t xml:space="preserve"> Existing Atlas automation experience.</w:t>
      </w:r>
    </w:p>
    <w:p>
      <w:r>
        <w:rPr>
          <w:b/>
        </w:rPr>
        <w:t>Studio exposure.</w:t>
      </w:r>
      <w:r>
        <w:t xml:space="preserve"> becomes a user-friendly view over the Studio Flow runtime, preserving existing automation intent while gaining durable execution.</w:t>
      </w:r>
    </w:p>
    <w:p>
      <w:r>
        <w:rPr>
          <w:b/>
        </w:rPr>
        <w:t>Hard boundary.</w:t>
      </w:r>
      <w:r>
        <w:t xml:space="preserve"> do not maintain two independent automation engines after migration.</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20.34 Audit</w:t>
      </w:r>
    </w:p>
    <w:p>
      <w:r>
        <w:rPr>
          <w:b/>
        </w:rPr>
        <w:t>Ownership.</w:t>
      </w:r>
      <w:r>
        <w:t xml:space="preserve"> Permanent business-significant change history.</w:t>
      </w:r>
    </w:p>
    <w:p>
      <w:r>
        <w:rPr>
          <w:b/>
        </w:rPr>
        <w:t>Studio exposure.</w:t>
      </w:r>
      <w:r>
        <w:t xml:space="preserve"> read-only audit surfaces, configuration publication events and trace links.</w:t>
      </w:r>
    </w:p>
    <w:p>
      <w:r>
        <w:rPr>
          <w:b/>
        </w:rPr>
        <w:t>Hard boundary.</w:t>
      </w:r>
      <w:r>
        <w:t xml:space="preserve"> Studio never edits or deletes audit evidence outside explicit retention law/policy.</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20.35 Atlas Admin</w:t>
      </w:r>
    </w:p>
    <w:p>
      <w:r>
        <w:rPr>
          <w:b/>
        </w:rPr>
        <w:t>Ownership.</w:t>
      </w:r>
      <w:r>
        <w:t xml:space="preserve"> Company setup, users, access, recovery, connections and platform administration.</w:t>
      </w:r>
    </w:p>
    <w:p>
      <w:r>
        <w:rPr>
          <w:b/>
        </w:rPr>
        <w:t>Studio exposure.</w:t>
      </w:r>
      <w:r>
        <w:t xml:space="preserve"> Studio entitlement, package/environment administration, connection mappings and controlled tenant setup surfaces.</w:t>
      </w:r>
    </w:p>
    <w:p>
      <w:r>
        <w:rPr>
          <w:b/>
        </w:rPr>
        <w:t>Hard boundary.</w:t>
      </w:r>
      <w:r>
        <w:t xml:space="preserve"> platform staff/customer boundaries and privileged user provisioning rules remain outside tenant-configurable flows.</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2"/>
      </w:pPr>
      <w:r>
        <w:t>20.36 Guardian</w:t>
      </w:r>
    </w:p>
    <w:p>
      <w:r>
        <w:rPr>
          <w:b/>
        </w:rPr>
        <w:t>Ownership.</w:t>
      </w:r>
      <w:r>
        <w:t xml:space="preserve"> Platform quality, diagnostics and repair workflow.</w:t>
      </w:r>
    </w:p>
    <w:p>
      <w:r>
        <w:rPr>
          <w:b/>
        </w:rPr>
        <w:t>Studio exposure.</w:t>
      </w:r>
      <w:r>
        <w:t xml:space="preserve"> configuration health signals, failed-run escalation, dependency breakage and repair evidence.</w:t>
      </w:r>
    </w:p>
    <w:p>
      <w:r>
        <w:rPr>
          <w:b/>
        </w:rPr>
        <w:t>Hard boundary.</w:t>
      </w:r>
      <w:r>
        <w:t xml:space="preserve"> Guardian may diagnose and propose; it cannot silently rewrite production business records or bypass release verification.</w:t>
      </w:r>
    </w:p>
    <w:p>
      <w:r>
        <w:rPr>
          <w:b/>
        </w:rPr>
        <w:t>Recommended first use cases.</w:t>
      </w:r>
      <w:r>
        <w:t xml:space="preserve"> Use Studio to remove tenant-specific forks, expose contextual actions, coordinate cross-module exceptions and make the record experience adaptable. Start with configuration that is reversible and observable. Keep accounting, stock, statutory, safety and irreversible operational invariants behind typed domain commands.</w:t>
      </w:r>
    </w:p>
    <w:p>
      <w:r>
        <w:rPr>
          <w:b/>
        </w:rPr>
        <w:t>Events and traceability.</w:t>
      </w:r>
      <w:r>
        <w:t xml:space="preserve"> Significant changes from this module should publish durable, versioned events. Studio run history stores event references and command results, while the module’s own audit remains authoritative for the business mutation.</w:t>
      </w:r>
    </w:p>
    <w:p>
      <w:pPr>
        <w:pStyle w:val="Heading1"/>
      </w:pPr>
      <w:r>
        <w:t>21. Cross-module reference journeys</w:t>
      </w:r>
    </w:p>
    <w:p>
      <w:pPr>
        <w:pStyle w:val="Heading2"/>
      </w:pPr>
      <w:r>
        <w:t>Order-to-cash exception</w:t>
      </w:r>
    </w:p>
    <w:p>
      <w:pPr>
        <w:pStyle w:val="ListNumber"/>
      </w:pPr>
      <w:r>
        <w:t>Sales emits order.confirmed.</w:t>
      </w:r>
    </w:p>
    <w:p>
      <w:pPr>
        <w:pStyle w:val="ListNumber"/>
      </w:pPr>
      <w:r>
        <w:t>Inventory/Planning facts determine availability.</w:t>
      </w:r>
    </w:p>
    <w:p>
      <w:pPr>
        <w:pStyle w:val="ListNumber"/>
      </w:pPr>
      <w:r>
        <w:t>Logistics creates fulfilment through its command contract.</w:t>
      </w:r>
    </w:p>
    <w:p>
      <w:pPr>
        <w:pStyle w:val="ListNumber"/>
      </w:pPr>
      <w:r>
        <w:t>A delivery exception event starts a Studio flow.</w:t>
      </w:r>
    </w:p>
    <w:p>
      <w:pPr>
        <w:pStyle w:val="ListNumber"/>
      </w:pPr>
      <w:r>
        <w:t>Decision selects recovery route from customer/service/order facts.</w:t>
      </w:r>
    </w:p>
    <w:p>
      <w:pPr>
        <w:pStyle w:val="ListNumber"/>
      </w:pPr>
      <w:r>
        <w:t>Customer Service case is created or linked if human resolution is required.</w:t>
      </w:r>
    </w:p>
    <w:p>
      <w:pPr>
        <w:pStyle w:val="ListNumber"/>
      </w:pPr>
      <w:r>
        <w:t>Any credit request goes to Finance approval and posting, never direct mutation.</w:t>
      </w:r>
    </w:p>
    <w:p>
      <w:pPr>
        <w:pStyle w:val="ListNumber"/>
      </w:pPr>
      <w:r>
        <w:t>Customer receives a templated notification after the confirmed outcome.</w:t>
      </w:r>
    </w:p>
    <w:p>
      <w:pPr>
        <w:pStyle w:val="Heading2"/>
      </w:pPr>
      <w:r>
        <w:t>Complaint to replacement and credit</w:t>
      </w:r>
    </w:p>
    <w:p>
      <w:pPr>
        <w:pStyle w:val="ListNumber"/>
      </w:pPr>
      <w:r>
        <w:t>Customer Service process classifies the complaint.</w:t>
      </w:r>
    </w:p>
    <w:p>
      <w:pPr>
        <w:pStyle w:val="ListNumber"/>
      </w:pPr>
      <w:r>
        <w:t>Quality NCR is requested when the decision indicates product quality investigation.</w:t>
      </w:r>
    </w:p>
    <w:p>
      <w:pPr>
        <w:pStyle w:val="ListNumber"/>
      </w:pPr>
      <w:r>
        <w:t>Logistics return is requested where goods must be recovered.</w:t>
      </w:r>
    </w:p>
    <w:p>
      <w:pPr>
        <w:pStyle w:val="ListNumber"/>
      </w:pPr>
      <w:r>
        <w:t>Inventory quarantine uses its own command if returned stock is unsafe.</w:t>
      </w:r>
    </w:p>
    <w:p>
      <w:pPr>
        <w:pStyle w:val="ListNumber"/>
      </w:pPr>
      <w:r>
        <w:t>Sales replacement order is requested through Sales.</w:t>
      </w:r>
    </w:p>
    <w:p>
      <w:pPr>
        <w:pStyle w:val="ListNumber"/>
      </w:pPr>
      <w:r>
        <w:t>Finance draft credit is created, independently approved and posted.</w:t>
      </w:r>
    </w:p>
    <w:p>
      <w:pPr>
        <w:pStyle w:val="ListNumber"/>
      </w:pPr>
      <w:r>
        <w:t>CSAT trigger is emitted only when the case reaches the configured eligible resolution state.</w:t>
      </w:r>
    </w:p>
    <w:p>
      <w:pPr>
        <w:pStyle w:val="Heading2"/>
      </w:pPr>
      <w:r>
        <w:t>Engineering change to production</w:t>
      </w:r>
    </w:p>
    <w:p>
      <w:pPr>
        <w:pStyle w:val="ListNumber"/>
      </w:pPr>
      <w:r>
        <w:t>Engineering/PLM change process gathers impact facts.</w:t>
      </w:r>
    </w:p>
    <w:p>
      <w:pPr>
        <w:pStyle w:val="ListNumber"/>
      </w:pPr>
      <w:r>
        <w:t>Approval policy requires Engineering plus Operations for material changes.</w:t>
      </w:r>
    </w:p>
    <w:p>
      <w:pPr>
        <w:pStyle w:val="ListNumber"/>
      </w:pPr>
      <w:r>
        <w:t>Released revision event is published.</w:t>
      </w:r>
    </w:p>
    <w:p>
      <w:pPr>
        <w:pStyle w:val="ListNumber"/>
      </w:pPr>
      <w:r>
        <w:t>Products/Manufacturing consume the released version through explicit version references.</w:t>
      </w:r>
    </w:p>
    <w:p>
      <w:pPr>
        <w:pStyle w:val="ListNumber"/>
      </w:pPr>
      <w:r>
        <w:t>Planning highlights affected open demand.</w:t>
      </w:r>
    </w:p>
    <w:p>
      <w:pPr>
        <w:pStyle w:val="ListNumber"/>
      </w:pPr>
      <w:r>
        <w:t>Existing released production orders follow a defined cut-over decision, not silent recipe replacement.</w:t>
      </w:r>
    </w:p>
    <w:p>
      <w:pPr>
        <w:pStyle w:val="ListNumber"/>
      </w:pPr>
      <w:r>
        <w:t>Audit and run trace explain which revision each production order used.</w:t>
      </w:r>
    </w:p>
    <w:p>
      <w:pPr>
        <w:pStyle w:val="Heading2"/>
      </w:pPr>
      <w:r>
        <w:t>Employee onboarding</w:t>
      </w:r>
    </w:p>
    <w:p>
      <w:pPr>
        <w:pStyle w:val="ListNumber"/>
      </w:pPr>
      <w:r>
        <w:t>HR creates canonical employee through its use case.</w:t>
      </w:r>
    </w:p>
    <w:p>
      <w:pPr>
        <w:pStyle w:val="ListNumber"/>
      </w:pPr>
      <w:r>
        <w:t>A Studio flow creates department-specific onboarding work in Tickets/Teams/Projects as configured.</w:t>
      </w:r>
    </w:p>
    <w:p>
      <w:pPr>
        <w:pStyle w:val="ListNumber"/>
      </w:pPr>
      <w:r>
        <w:t>Scheduling receives availability only after required employment data exists.</w:t>
      </w:r>
    </w:p>
    <w:p>
      <w:pPr>
        <w:pStyle w:val="ListNumber"/>
      </w:pPr>
      <w:r>
        <w:t>System access requests go through Atlas Admin controlled actions rather than the tenant flow directly provisioning privileged staff.</w:t>
      </w:r>
    </w:p>
    <w:p>
      <w:pPr>
        <w:pStyle w:val="ListNumber"/>
      </w:pPr>
      <w:r>
        <w:t>Training tasks in Safety are created where role/site policy requires them.</w:t>
      </w:r>
    </w:p>
    <w:p>
      <w:pPr>
        <w:pStyle w:val="ListNumber"/>
      </w:pPr>
      <w:r>
        <w:t>No payroll-sensitive field is exposed to general onboarding task assignees.</w:t>
      </w:r>
    </w:p>
    <w:p>
      <w:pPr>
        <w:pStyle w:val="Heading2"/>
      </w:pPr>
      <w:r>
        <w:t>Predictive maintenance response</w:t>
      </w:r>
    </w:p>
    <w:p>
      <w:pPr>
        <w:pStyle w:val="ListNumber"/>
      </w:pPr>
      <w:r>
        <w:t>Maintenance event reports condition threshold breach.</w:t>
      </w:r>
    </w:p>
    <w:p>
      <w:pPr>
        <w:pStyle w:val="ListNumber"/>
      </w:pPr>
      <w:r>
        <w:t>Decision determines severity and whether machine must be stopped.</w:t>
      </w:r>
    </w:p>
    <w:p>
      <w:pPr>
        <w:pStyle w:val="ListNumber"/>
      </w:pPr>
      <w:r>
        <w:t>If Safety interlock is required, Safety command owns isolation/permit state.</w:t>
      </w:r>
    </w:p>
    <w:p>
      <w:pPr>
        <w:pStyle w:val="ListNumber"/>
      </w:pPr>
      <w:r>
        <w:t>Manufacturing/Planning receive machine availability impact through contracts/events.</w:t>
      </w:r>
    </w:p>
    <w:p>
      <w:pPr>
        <w:pStyle w:val="ListNumber"/>
      </w:pPr>
      <w:r>
        <w:t>Maintenance work order is scheduled.</w:t>
      </w:r>
    </w:p>
    <w:p>
      <w:pPr>
        <w:pStyle w:val="ListNumber"/>
      </w:pPr>
      <w:r>
        <w:t>Parts demand uses Inventory/Procurement commands.</w:t>
      </w:r>
    </w:p>
    <w:p>
      <w:pPr>
        <w:pStyle w:val="ListNumber"/>
      </w:pPr>
      <w:r>
        <w:t>Restoration requires the owning safety/maintenance conditions, not a generic Studio status change.</w:t>
      </w:r>
    </w:p>
    <w:p>
      <w:pPr>
        <w:pStyle w:val="Heading1"/>
      </w:pPr>
      <w:r>
        <w:t>22. Configuration validation and compiler</w:t>
      </w:r>
    </w:p>
    <w:p>
      <w:r>
        <w:t>The compiler is the safety boundary between flexible metadata and runtime execution. It transforms a draft graph into a closed, typed plan whose external references are resolved and whose behaviour is deterministic.</w:t>
      </w:r>
    </w:p>
    <w:p>
      <w:pPr>
        <w:pStyle w:val="Heading2"/>
      </w:pPr>
      <w:r>
        <w:t>22.1 Validation pipeline</w:t>
      </w:r>
    </w:p>
    <w:p>
      <w:pPr>
        <w:pStyle w:val="ListNumber"/>
      </w:pPr>
      <w:r>
        <w:t>Parse and schema-validate the artefact payload.</w:t>
      </w:r>
    </w:p>
    <w:p>
      <w:pPr>
        <w:pStyle w:val="ListNumber"/>
      </w:pPr>
      <w:r>
        <w:t>Resolve tenant/module availability and registry identifiers.</w:t>
      </w:r>
    </w:p>
    <w:p>
      <w:pPr>
        <w:pStyle w:val="ListNumber"/>
      </w:pPr>
      <w:r>
        <w:t>Validate actor publication permission and risk policy.</w:t>
      </w:r>
    </w:p>
    <w:p>
      <w:pPr>
        <w:pStyle w:val="ListNumber"/>
      </w:pPr>
      <w:r>
        <w:t>Type-check connections between nodes, fields, facts and command inputs.</w:t>
      </w:r>
    </w:p>
    <w:p>
      <w:pPr>
        <w:pStyle w:val="ListNumber"/>
      </w:pPr>
      <w:r>
        <w:t>Check field sensitivity against sinks and logs.</w:t>
      </w:r>
    </w:p>
    <w:p>
      <w:pPr>
        <w:pStyle w:val="ListNumber"/>
      </w:pPr>
      <w:r>
        <w:t>Detect missing references, cycles and prohibited recursion.</w:t>
      </w:r>
    </w:p>
    <w:p>
      <w:pPr>
        <w:pStyle w:val="ListNumber"/>
      </w:pPr>
      <w:r>
        <w:t>Check process state reachability and terminal-state rules.</w:t>
      </w:r>
    </w:p>
    <w:p>
      <w:pPr>
        <w:pStyle w:val="ListNumber"/>
      </w:pPr>
      <w:r>
        <w:t>Analyse decision gaps/overlaps according to hit policy.</w:t>
      </w:r>
    </w:p>
    <w:p>
      <w:pPr>
        <w:pStyle w:val="ListNumber"/>
      </w:pPr>
      <w:r>
        <w:t>Validate flow wait/correlation definitions and parallel join semantics.</w:t>
      </w:r>
    </w:p>
    <w:p>
      <w:pPr>
        <w:pStyle w:val="ListNumber"/>
      </w:pPr>
      <w:r>
        <w:t>Validate package dependencies and minimum contract versions.</w:t>
      </w:r>
    </w:p>
    <w:p>
      <w:pPr>
        <w:pStyle w:val="ListNumber"/>
      </w:pPr>
      <w:r>
        <w:t>Produce warnings for deprecations, performance risks and unused outputs.</w:t>
      </w:r>
    </w:p>
    <w:p>
      <w:pPr>
        <w:pStyle w:val="ListNumber"/>
      </w:pPr>
      <w:r>
        <w:t>Compile a normalised plan and checksum it.</w:t>
      </w:r>
    </w:p>
    <w:p>
      <w:pPr>
        <w:pStyle w:val="Heading2"/>
      </w:pPr>
      <w:r>
        <w:t>22.2 Severity</w:t>
      </w:r>
    </w:p>
    <w:p>
      <w:r>
        <w:t>Errors block publication. Warnings require acknowledgement or policy approval. Informational findings improve quality but do not block. Some warnings automatically become errors for HIGH-risk definitions, for example a connector operation with no reconciliation policy when its remote side effect may duplicate.</w:t>
      </w:r>
    </w:p>
    <w:p>
      <w:pPr>
        <w:pStyle w:val="Heading1"/>
      </w:pPr>
      <w:r>
        <w:t>23. Business state machines and concurrency</w:t>
      </w:r>
    </w:p>
    <w:p>
      <w:r>
        <w:t>Studio must assume that records change while a user is viewing them and while a flow or approval is waiting. Command inputs can include expected record revision where the domain exposes one. A stale transition fails with a conflict result and the process/flow can re-query and decide what to do. Studio should never implement “read, assume unchanged, then blind write”.</w:t>
      </w:r>
    </w:p>
    <w:p>
      <w:pPr>
        <w:pStyle w:val="Heading2"/>
      </w:pPr>
      <w:r>
        <w:t>23.1 Long-running processes</w:t>
      </w:r>
    </w:p>
    <w:p>
      <w:r>
        <w:t>For work lasting days or weeks, the process instance stores only configuration/process state and references to canonical records. It does not freeze all record data. Decisions that need a historical snapshot explicitly store that snapshot as evidence, such as the amount and credit status used when an approval was requested.</w:t>
      </w:r>
    </w:p>
    <w:p>
      <w:pPr>
        <w:pStyle w:val="Heading1"/>
      </w:pPr>
      <w:r>
        <w:t>24. Custom field migrations and record evolution</w:t>
      </w:r>
    </w:p>
    <w:p>
      <w:r>
        <w:t>A field migration is a first-class operation. The administrator sees affected record count, conversion examples, invalid values, index impact and rollback limits before starting. Migration jobs are resumable and idempotent. Reads remain compatible during rolling migration using the source and target representation until cut-over. A failed batch never leaves an ambiguous partially converted value without a migration state.</w:t>
      </w:r>
    </w:p>
    <w:p>
      <w:pPr>
        <w:pStyle w:val="Heading2"/>
      </w:pPr>
      <w:r>
        <w:t>24.1 Safe conversions</w:t>
      </w:r>
    </w:p>
    <w:p>
      <w:pPr>
        <w:pStyle w:val="ListBullet"/>
      </w:pPr>
      <w:r>
        <w:t>Integer to decimal can be automatic when precision policy permits.</w:t>
      </w:r>
    </w:p>
    <w:p>
      <w:pPr>
        <w:pStyle w:val="ListBullet"/>
      </w:pPr>
      <w:r>
        <w:t>Enum label rename does not change the stable enum option ID.</w:t>
      </w:r>
    </w:p>
    <w:p>
      <w:pPr>
        <w:pStyle w:val="ListBullet"/>
      </w:pPr>
      <w:r>
        <w:t>String to enum requires mapping for every distinct value or an explicit unmapped policy.</w:t>
      </w:r>
    </w:p>
    <w:p>
      <w:pPr>
        <w:pStyle w:val="ListBullet"/>
      </w:pPr>
      <w:r>
        <w:t>Date/datetime conversion requires timezone semantics.</w:t>
      </w:r>
    </w:p>
    <w:p>
      <w:pPr>
        <w:pStyle w:val="ListBullet"/>
      </w:pPr>
      <w:r>
        <w:t>Reference target changes are breaking and normally require a new field.</w:t>
      </w:r>
    </w:p>
    <w:p>
      <w:pPr>
        <w:pStyle w:val="ListBullet"/>
      </w:pPr>
      <w:r>
        <w:t>Money currency semantics cannot be inferred from a plain decimal field.</w:t>
      </w:r>
    </w:p>
    <w:p>
      <w:pPr>
        <w:pStyle w:val="Heading1"/>
      </w:pPr>
      <w:r>
        <w:t>25. Testing strategy</w:t>
      </w:r>
    </w:p>
    <w:p>
      <w:r>
        <w:t>Studio is not complete when the builders render. Acceptance requires proof that configuration remains safe under failure, concurrency, upgrades and cross-module use.</w:t>
      </w:r>
    </w:p>
    <w:p>
      <w:r>
        <w:t>The test suite must include schema/contract tests for every registered module descriptor, compiler tests, permission tests, tenant-isolation tests, property tests for decisions, state-machine tests, worker lease/retry tests, outbox replay tests, idempotency tests, package compatibility tests and end-to-end journeys across multiple modules.</w:t>
      </w:r>
    </w:p>
    <w:p>
      <w:r>
        <w:t>Production acceptance should include forced worker termination during a flow, server restart while timers are waiting, duplicated event delivery, connector timeout after the remote system may have accepted the request, module disablement, capability removal in a candidate release, field retirement with historical values, simultaneous approval attempts and rollback to a prior Studio version.</w:t>
      </w:r>
    </w:p>
    <w:p>
      <w:pPr>
        <w:pStyle w:val="Heading2"/>
      </w:pPr>
      <w:r>
        <w:t>25.1 Contract tests required from modules</w:t>
      </w:r>
    </w:p>
    <w:p>
      <w:pPr>
        <w:pStyle w:val="ListBullet"/>
      </w:pPr>
      <w:r>
        <w:t>Every descriptor has a unique stable ID and valid schemas.</w:t>
      </w:r>
    </w:p>
    <w:p>
      <w:pPr>
        <w:pStyle w:val="ListBullet"/>
      </w:pPr>
      <w:r>
        <w:t>Query/command capability enforcement is tested.</w:t>
      </w:r>
    </w:p>
    <w:p>
      <w:pPr>
        <w:pStyle w:val="ListBullet"/>
      </w:pPr>
      <w:r>
        <w:t>Tenant isolation is tested with records from at least two organisations.</w:t>
      </w:r>
    </w:p>
    <w:p>
      <w:pPr>
        <w:pStyle w:val="ListBullet"/>
      </w:pPr>
      <w:r>
        <w:t>Command idempotency behaviour matches the descriptor.</w:t>
      </w:r>
    </w:p>
    <w:p>
      <w:pPr>
        <w:pStyle w:val="ListBullet"/>
      </w:pPr>
      <w:r>
        <w:t>Events validate against their registered schema.</w:t>
      </w:r>
    </w:p>
    <w:p>
      <w:pPr>
        <w:pStyle w:val="ListBullet"/>
      </w:pPr>
      <w:r>
        <w:t>Sensitive fields are correctly classified.</w:t>
      </w:r>
    </w:p>
    <w:p>
      <w:pPr>
        <w:pStyle w:val="ListBullet"/>
      </w:pPr>
      <w:r>
        <w:t>Breaking descriptor changes are detected by a compatibility snapshot test.</w:t>
      </w:r>
    </w:p>
    <w:p>
      <w:pPr>
        <w:pStyle w:val="Heading2"/>
      </w:pPr>
      <w:r>
        <w:t>25.2 Studio property/invariant tests</w:t>
      </w:r>
    </w:p>
    <w:p>
      <w:pPr>
        <w:pStyle w:val="ListBullet"/>
      </w:pPr>
      <w:r>
        <w:t>Published versions never mutate.</w:t>
      </w:r>
    </w:p>
    <w:p>
      <w:pPr>
        <w:pStyle w:val="ListBullet"/>
      </w:pPr>
      <w:r>
        <w:t>A draft cannot activate without successful compilation.</w:t>
      </w:r>
    </w:p>
    <w:p>
      <w:pPr>
        <w:pStyle w:val="ListBullet"/>
      </w:pPr>
      <w:r>
        <w:t>Replaying the same event cannot duplicate an idempotent logical action.</w:t>
      </w:r>
    </w:p>
    <w:p>
      <w:pPr>
        <w:pStyle w:val="ListBullet"/>
      </w:pPr>
      <w:r>
        <w:t>Worker loss cannot lose a claimed step permanently.</w:t>
      </w:r>
    </w:p>
    <w:p>
      <w:pPr>
        <w:pStyle w:val="ListBullet"/>
      </w:pPr>
      <w:r>
        <w:t>No tenant can resolve another tenant’s definition or extension value.</w:t>
      </w:r>
    </w:p>
    <w:p>
      <w:pPr>
        <w:pStyle w:val="ListBullet"/>
      </w:pPr>
      <w:r>
        <w:t>No Studio permission can widen a missing module capability.</w:t>
      </w:r>
    </w:p>
    <w:p>
      <w:pPr>
        <w:pStyle w:val="ListBullet"/>
      </w:pPr>
      <w:r>
        <w:t>Decision evaluation is deterministic for the same version and inputs.</w:t>
      </w:r>
    </w:p>
    <w:p>
      <w:pPr>
        <w:pStyle w:val="ListBullet"/>
      </w:pPr>
      <w:r>
        <w:t>Rollback changes the active pointer but preserves newer versions and run history.</w:t>
      </w:r>
    </w:p>
    <w:p>
      <w:pPr>
        <w:pStyle w:val="Heading1"/>
      </w:pPr>
      <w:r>
        <w:t>26. Release, deployment and recovery</w:t>
      </w:r>
    </w:p>
    <w:p>
      <w:r>
        <w:t>Studio changes follow the same live deployment discipline as Atlas. Database migrations are additive wherever practical. A release candidate runs the Studio dependency compatibility scan against active definitions before deployment. If code removes or changes a capability in a way that would break active Studio configuration, deployment is blocked until an adapter, migration or coordinated configuration release is prepared.</w:t>
      </w:r>
    </w:p>
    <w:p>
      <w:pPr>
        <w:pStyle w:val="Heading2"/>
      </w:pPr>
      <w:r>
        <w:t>26.1 Backups</w:t>
      </w:r>
    </w:p>
    <w:p>
      <w:r>
        <w:t>Studio metadata and run state are part of the central database backup. External evidence/files follow their owning storage backup. Recovery testing must prove that waiting timers and in-flight runs resume safely after database restoration without duplicating external side effects.</w:t>
      </w:r>
    </w:p>
    <w:p>
      <w:pPr>
        <w:pStyle w:val="Heading2"/>
      </w:pPr>
      <w:r>
        <w:t>26.2 Disaster recovery rule</w:t>
      </w:r>
    </w:p>
    <w:p>
      <w:r>
        <w:t>After restoration, external connector steps that were Sent but not Confirmed are placed into reconciliation or Unknown rather than immediately retried. This avoids duplicate payments, shipments, bookings or messages after point-in-time recovery.</w:t>
      </w:r>
    </w:p>
    <w:p>
      <w:pPr>
        <w:pStyle w:val="Heading1"/>
      </w:pPr>
      <w:r>
        <w:t>27. Implementation sequence</w:t>
      </w:r>
    </w:p>
    <w:p>
      <w:r>
        <w:t>Studio should be introduced in layers without pausing Atlas feature development.</w:t>
      </w:r>
    </w:p>
    <w:p>
      <w:r>
        <w:t>First, establish the Capability Registry and compatibility adapters around existing manifest providers. This gives Studio a safe discovery model without changing user-visible behaviour. Second, build configuration versioning, draft/publish workflow and dependency analysis. Third, deliver extension fields, record types and structured Page Studio. Fourth, build Decisions and shared Approvals. Fifth, build durable events/outbox and Flow runtime. Sixth, migrate the existing Automations application onto the Flow runtime. Seventh, expose Process Studio and progressively move appropriate hard-coded status/configuration choices into process definitions. Finally, add packaging, environment promotion and advanced overlays.</w:t>
      </w:r>
    </w:p>
    <w:p>
      <w:r>
        <w:t>Migration is not measured by how many screens are replaced by Studio. The goal is a stable configurable substrate. Some critical flows should remain deliberately coded if configuration would weaken safety or clarity.</w:t>
      </w:r>
    </w:p>
    <w:p>
      <w:pPr>
        <w:spacing w:after="20"/>
      </w:pPr>
      <w:r>
        <w:rPr>
          <w:rFonts w:ascii="Aptos" w:hAnsi="Aptos"/>
          <w:color w:val="334155"/>
          <w:sz w:val="17"/>
        </w:rPr>
        <w:t>Phase  Outcome</w:t>
      </w:r>
    </w:p>
    <w:p>
      <w:pPr>
        <w:spacing w:after="20"/>
      </w:pPr>
      <w:r>
        <w:rPr>
          <w:rFonts w:ascii="Aptos" w:hAnsi="Aptos"/>
          <w:color w:val="334155"/>
          <w:sz w:val="17"/>
        </w:rPr>
        <w:t>0. Contract hardening  Inventory current providers and events. Define registry identifiers, schemas and compatibility policy. Add adapters so current Atlas behaviour is unchanged.</w:t>
      </w:r>
    </w:p>
    <w:p>
      <w:pPr>
        <w:spacing w:after="20"/>
      </w:pPr>
      <w:r>
        <w:rPr>
          <w:rFonts w:ascii="Aptos" w:hAnsi="Aptos"/>
          <w:color w:val="334155"/>
          <w:sz w:val="17"/>
        </w:rPr>
        <w:t>1. Metadata kernel  Create Studio definition/draft/version/dependency tables, validation service, publication workflow, audit events and configuration capabilities.</w:t>
      </w:r>
    </w:p>
    <w:p>
      <w:pPr>
        <w:spacing w:after="20"/>
      </w:pPr>
      <w:r>
        <w:rPr>
          <w:rFonts w:ascii="Aptos" w:hAnsi="Aptos"/>
          <w:color w:val="334155"/>
          <w:sz w:val="17"/>
        </w:rPr>
        <w:t>2. Fields, record types and pages  Deliver extension policy, custom fields, record types, structured page builder, conditional variants, generated list/detail/form runtime and dependency impact analysis.</w:t>
      </w:r>
    </w:p>
    <w:p>
      <w:pPr>
        <w:spacing w:after="20"/>
      </w:pPr>
      <w:r>
        <w:rPr>
          <w:rFonts w:ascii="Aptos" w:hAnsi="Aptos"/>
          <w:color w:val="334155"/>
          <w:sz w:val="17"/>
        </w:rPr>
        <w:t>3. Decisions and approvals  Implement deterministic decision tables, explanation traces and reusable approval policies. Migrate suitable existing approval routes.</w:t>
      </w:r>
    </w:p>
    <w:p>
      <w:pPr>
        <w:spacing w:after="20"/>
      </w:pPr>
      <w:r>
        <w:rPr>
          <w:rFonts w:ascii="Aptos" w:hAnsi="Aptos"/>
          <w:color w:val="334155"/>
          <w:sz w:val="17"/>
        </w:rPr>
        <w:t>4. Durable event foundation  Standardise transactional outbox, dispatcher, consumer idempotency, event schema/version registry and replay tooling.</w:t>
      </w:r>
    </w:p>
    <w:p>
      <w:pPr>
        <w:spacing w:after="20"/>
      </w:pPr>
      <w:r>
        <w:rPr>
          <w:rFonts w:ascii="Aptos" w:hAnsi="Aptos"/>
          <w:color w:val="334155"/>
          <w:sz w:val="17"/>
        </w:rPr>
        <w:t>5. Flow runtime  Build worker leases, nodes, retries, timers, waits, parallel joins, subflows, integration uncertainty and Operations UI.</w:t>
      </w:r>
    </w:p>
    <w:p>
      <w:pPr>
        <w:spacing w:after="20"/>
      </w:pPr>
      <w:r>
        <w:rPr>
          <w:rFonts w:ascii="Aptos" w:hAnsi="Aptos"/>
          <w:color w:val="334155"/>
          <w:sz w:val="17"/>
        </w:rPr>
        <w:t>6. Automations migration  Rebuild the current Automations app as a simpler authoring surface on the Flow runtime, migrate definitions and preserve history.</w:t>
      </w:r>
    </w:p>
    <w:p>
      <w:pPr>
        <w:spacing w:after="20"/>
      </w:pPr>
      <w:r>
        <w:rPr>
          <w:rFonts w:ascii="Aptos" w:hAnsi="Aptos"/>
          <w:color w:val="334155"/>
          <w:sz w:val="17"/>
        </w:rPr>
        <w:t>7. Process Studio  Introduce process state machines for domains that explicitly opt in. Begin with Customer Service/Tickets or another domain with clear configurable stages.</w:t>
      </w:r>
    </w:p>
    <w:p>
      <w:pPr>
        <w:spacing w:after="20"/>
      </w:pPr>
      <w:r>
        <w:rPr>
          <w:rFonts w:ascii="Aptos" w:hAnsi="Aptos"/>
          <w:color w:val="334155"/>
          <w:sz w:val="17"/>
        </w:rPr>
        <w:t>8. Packages and environments  Add export/import, dry-run install, semantic compatibility, environment values, overlays and upgrade conflict management.</w:t>
      </w:r>
    </w:p>
    <w:p>
      <w:pPr>
        <w:spacing w:after="20"/>
      </w:pPr>
      <w:r>
        <w:rPr>
          <w:rFonts w:ascii="Aptos" w:hAnsi="Aptos"/>
          <w:color w:val="334155"/>
          <w:sz w:val="17"/>
        </w:rPr>
        <w:t>9. Broad module adoption  Migrate module-specific settings and safe extension points into Studio progressively. Do not force inappropriate invariants into configuration for completion metrics.</w:t>
      </w:r>
    </w:p>
    <w:p>
      <w:pPr>
        <w:pStyle w:val="Heading2"/>
      </w:pPr>
      <w:r>
        <w:t>27.1 First vertical slice</w:t>
      </w:r>
    </w:p>
    <w:p>
      <w:r>
        <w:t>The first production slice should prove the entire architecture with low irreversible risk. A strong candidate is a Customer Service or Tickets record type with extension fields, a structured page, a Decision for routing, a Process with several states, a shared Approval, a Flow reacting to a domain event, and Operations trace. The slice should invoke at least one command in another module through the registry to prove cross-module composition.</w:t>
      </w:r>
    </w:p>
    <w:p>
      <w:pPr>
        <w:pStyle w:val="Heading2"/>
      </w:pPr>
      <w:r>
        <w:t>27.2 Do not start with</w:t>
      </w:r>
    </w:p>
    <w:p>
      <w:r>
        <w:t>Do not start by exposing Finance journal posting, stock adjustments, payroll finalisation or arbitrary schema creation. Those would maximise risk before the runtime, permissions and observability have proved themselves.</w:t>
      </w:r>
    </w:p>
    <w:p>
      <w:pPr>
        <w:pStyle w:val="Heading1"/>
      </w:pPr>
      <w:r>
        <w:t>28. Codex implementation brief</w:t>
      </w:r>
    </w:p>
    <w:p>
      <w:r>
        <w:t>The implementation agent must treat this document as architectural constraints, not as permission to rewrite Atlas wholesale. Before changing code it must read AGENTS.md, .ai/PROJECT_MEMORY.md, .ai/CURRENT_STATE.md, .ai/DECISIONS.md, docs/ARCHITECTURE.md, docs/MODULE_SPEC.md, docs/PERMISSIONS.md and the relevant module guide. It must inspect the implementation and current Git diff before assuming documentation is current.</w:t>
      </w:r>
    </w:p>
    <w:p>
      <w:r>
        <w:t>Every mutation path must preserve the existing `requireSession()` and capability model, tenant scope, canonical entities and module ownership. Core must not import module internals. New cross-module behaviour is implemented through typed Core contracts and module registrations. New persisted records are tenant-scoped and indexed where appropriate.</w:t>
      </w:r>
    </w:p>
    <w:p>
      <w:r>
        <w:t>Do not mark a Studio capability complete from a schema, catalogue entry or attractive screen. Completion requires runtime behaviour, security tests, failure tests, release migration, production build and live verification under the standing Atlas deployment policy. Update `.ai/CURRENT_STATE.md` with the real checks and blockers in the same change.</w:t>
      </w:r>
    </w:p>
    <w:p>
      <w:pPr>
        <w:pStyle w:val="Heading2"/>
      </w:pPr>
      <w:r>
        <w:t>28.1 Expected repository shape</w:t>
      </w:r>
    </w:p>
    <w:p>
      <w:pPr>
        <w:pStyle w:val="CodeBlock"/>
        <w:shd w:fill="F1F5F9"/>
      </w:pPr>
      <w:r>
        <w:t>src/core/studio/</w:t>
        <w:br/>
        <w:t xml:space="preserve">  registry/          # descriptors, adapters, compatibility</w:t>
        <w:br/>
        <w:t xml:space="preserve">  definitions/       # drafts, versions, dependency graph</w:t>
        <w:br/>
        <w:t xml:space="preserve">  compiler/          # validation and compiled plans</w:t>
        <w:br/>
        <w:t xml:space="preserve">  fields/            # extension definitions/values/migrations</w:t>
        <w:br/>
        <w:t xml:space="preserve">  pages/             # page runtime contracts</w:t>
        <w:br/>
        <w:t xml:space="preserve">  process/           # state-machine runtime</w:t>
        <w:br/>
        <w:t xml:space="preserve">  decisions/         # decision compiler/evaluator</w:t>
        <w:br/>
        <w:t xml:space="preserve">  approvals/         # shared approvals</w:t>
        <w:br/>
        <w:t xml:space="preserve">  flows/             # durable runtime and node contracts</w:t>
        <w:br/>
        <w:t xml:space="preserve">  integrations/      # connector contracts</w:t>
        <w:br/>
        <w:t xml:space="preserve">  packages/          # export/import/upgrade</w:t>
        <w:br/>
        <w:t xml:space="preserve">  operations/        # runs, traces, recovery</w:t>
        <w:br/>
        <w:br/>
        <w:t>src/modules/studio/  # administration UI only; business logic remains Core services</w:t>
        <w:br/>
        <w:t>src/app/(app)/studio/</w:t>
        <w:br/>
        <w:t>workers/studio/ or scripts/studio/ # worker entry points according to Atlas deployment conventions</w:t>
      </w:r>
    </w:p>
    <w:p>
      <w:pPr>
        <w:pStyle w:val="Heading2"/>
      </w:pPr>
      <w:r>
        <w:t>28.2 Architectural lint rules</w:t>
      </w:r>
    </w:p>
    <w:p>
      <w:pPr>
        <w:pStyle w:val="ListBullet"/>
      </w:pPr>
      <w:r>
        <w:t>Core/Studio may depend on public module contracts only through registration, never direct module service imports.</w:t>
      </w:r>
    </w:p>
    <w:p>
      <w:pPr>
        <w:pStyle w:val="ListBullet"/>
      </w:pPr>
      <w:r>
        <w:t>Module commands cannot accept organisationId from an untrusted client as authoritative.</w:t>
      </w:r>
    </w:p>
    <w:p>
      <w:pPr>
        <w:pStyle w:val="ListBullet"/>
      </w:pPr>
      <w:r>
        <w:t>No configurable expression can execute raw SQL or arbitrary code.</w:t>
      </w:r>
    </w:p>
    <w:p>
      <w:pPr>
        <w:pStyle w:val="ListBullet"/>
      </w:pPr>
      <w:r>
        <w:t>Every durable node has explicit retry/terminal semantics.</w:t>
      </w:r>
    </w:p>
    <w:p>
      <w:pPr>
        <w:pStyle w:val="ListBullet"/>
      </w:pPr>
      <w:r>
        <w:t>Every external side effect has idempotency or reconciliation policy.</w:t>
      </w:r>
    </w:p>
    <w:p>
      <w:pPr>
        <w:pStyle w:val="ListBullet"/>
      </w:pPr>
      <w:r>
        <w:t>Every published artefact has immutable version identity and checksum.</w:t>
      </w:r>
    </w:p>
    <w:p>
      <w:pPr>
        <w:pStyle w:val="ListBullet"/>
      </w:pPr>
      <w:r>
        <w:t>Every runtime trace can identify its exact published configuration version.</w:t>
      </w:r>
    </w:p>
    <w:p>
      <w:pPr>
        <w:pStyle w:val="Heading1"/>
      </w:pPr>
      <w:r>
        <w:t>29. Acceptance checklist for “Studio is real”</w:t>
      </w:r>
    </w:p>
    <w:p>
      <w:pPr>
        <w:pStyle w:val="ListBullet"/>
      </w:pPr>
      <w:r>
        <w:t>☐ At least five materially different modules publish registry contracts through the standard model.</w:t>
      </w:r>
    </w:p>
    <w:p>
      <w:pPr>
        <w:pStyle w:val="ListBullet"/>
      </w:pPr>
      <w:r>
        <w:t>☐ A tenant administrator can add an extension field to an approved entity without code deployment.</w:t>
      </w:r>
    </w:p>
    <w:p>
      <w:pPr>
        <w:pStyle w:val="ListBullet"/>
      </w:pPr>
      <w:r>
        <w:t>☐ The field appears on a configured page, is permission-safe, searchable where configured and survives package/version changes.</w:t>
      </w:r>
    </w:p>
    <w:p>
      <w:pPr>
        <w:pStyle w:val="ListBullet"/>
      </w:pPr>
      <w:r>
        <w:t>☐ A Decision can be tested and its matched rule explained.</w:t>
      </w:r>
    </w:p>
    <w:p>
      <w:pPr>
        <w:pStyle w:val="ListBullet"/>
      </w:pPr>
      <w:r>
        <w:t>☐ A Process can enforce stages and transitions on an opted-in record.</w:t>
      </w:r>
    </w:p>
    <w:p>
      <w:pPr>
        <w:pStyle w:val="ListBullet"/>
      </w:pPr>
      <w:r>
        <w:t>☐ A Flow can cross at least three modules using only registered queries/commands/events.</w:t>
      </w:r>
    </w:p>
    <w:p>
      <w:pPr>
        <w:pStyle w:val="ListBullet"/>
      </w:pPr>
      <w:r>
        <w:t>☐ The flow survives a server restart while waiting.</w:t>
      </w:r>
    </w:p>
    <w:p>
      <w:pPr>
        <w:pStyle w:val="ListBullet"/>
      </w:pPr>
      <w:r>
        <w:t>☐ Duplicate event delivery does not duplicate the business action.</w:t>
      </w:r>
    </w:p>
    <w:p>
      <w:pPr>
        <w:pStyle w:val="ListBullet"/>
      </w:pPr>
      <w:r>
        <w:t>☐ An approval enforces eligibility and self-approval policy under concurrent attempts.</w:t>
      </w:r>
    </w:p>
    <w:p>
      <w:pPr>
        <w:pStyle w:val="ListBullet"/>
      </w:pPr>
      <w:r>
        <w:t>☐ An external timeout creates an Unknown/reconciliation state rather than unsafe automatic replay.</w:t>
      </w:r>
    </w:p>
    <w:p>
      <w:pPr>
        <w:pStyle w:val="ListBullet"/>
      </w:pPr>
      <w:r>
        <w:t>☐ Every run provides an understandable trace from the affected record.</w:t>
      </w:r>
    </w:p>
    <w:p>
      <w:pPr>
        <w:pStyle w:val="ListBullet"/>
      </w:pPr>
      <w:r>
        <w:t>☐ A package can be dry-run installed into another tenant/environment with dependency conflicts reported before activation.</w:t>
      </w:r>
    </w:p>
    <w:p>
      <w:pPr>
        <w:pStyle w:val="ListBullet"/>
      </w:pPr>
      <w:r>
        <w:t>☐ A release that would break an active Studio capability is blocked by compatibility checks.</w:t>
      </w:r>
    </w:p>
    <w:p>
      <w:pPr>
        <w:pStyle w:val="ListBullet"/>
      </w:pPr>
      <w:r>
        <w:t>☐ Rollback activates the previous compatible configuration without deleting history.</w:t>
      </w:r>
    </w:p>
    <w:p>
      <w:pPr>
        <w:pStyle w:val="ListBullet"/>
      </w:pPr>
      <w:r>
        <w:t>☐ Guardian can surface stuck/failed/deprecated configuration without bypassing business security.</w:t>
      </w:r>
    </w:p>
    <w:p>
      <w:pPr>
        <w:pStyle w:val="Heading1"/>
      </w:pPr>
      <w:r>
        <w:t>30. Final architectural rules</w:t>
      </w:r>
    </w:p>
    <w:p>
      <w:pPr>
        <w:pStyle w:val="ListNumber"/>
      </w:pPr>
      <w:r>
        <w:t>Atlas Studio is the control plane, not the source of truth for every domain.</w:t>
      </w:r>
    </w:p>
    <w:p>
      <w:pPr>
        <w:pStyle w:val="ListNumber"/>
      </w:pPr>
      <w:r>
        <w:t>Every module that wants to participate exposes safe, typed contracts.</w:t>
      </w:r>
    </w:p>
    <w:p>
      <w:pPr>
        <w:pStyle w:val="ListNumber"/>
      </w:pPr>
      <w:r>
        <w:t>No contract means no Studio access to that internal behaviour.</w:t>
      </w:r>
    </w:p>
    <w:p>
      <w:pPr>
        <w:pStyle w:val="ListNumber"/>
      </w:pPr>
      <w:r>
        <w:t>Configuration is immutable when published and version-pinned when executed.</w:t>
      </w:r>
    </w:p>
    <w:p>
      <w:pPr>
        <w:pStyle w:val="ListNumber"/>
      </w:pPr>
      <w:r>
        <w:t>Processes own configurable lifecycle, Flows own orchestration, Decisions own pure logic, Approvals own authorisation workflow.</w:t>
      </w:r>
    </w:p>
    <w:p>
      <w:pPr>
        <w:pStyle w:val="ListNumber"/>
      </w:pPr>
      <w:r>
        <w:t>Domain commands own business mutations.</w:t>
      </w:r>
    </w:p>
    <w:p>
      <w:pPr>
        <w:pStyle w:val="ListNumber"/>
      </w:pPr>
      <w:r>
        <w:t>Durable events use outbox and at-least-once semantics with idempotent consumers.</w:t>
      </w:r>
    </w:p>
    <w:p>
      <w:pPr>
        <w:pStyle w:val="ListNumber"/>
      </w:pPr>
      <w:r>
        <w:t>Security, tenancy and field sensitivity are rechecked at runtime, not trusted from the builder.</w:t>
      </w:r>
    </w:p>
    <w:p>
      <w:pPr>
        <w:pStyle w:val="ListNumber"/>
      </w:pPr>
      <w:r>
        <w:t>External uncertainty is modelled explicitly.</w:t>
      </w:r>
    </w:p>
    <w:p>
      <w:pPr>
        <w:pStyle w:val="ListNumber"/>
      </w:pPr>
      <w:r>
        <w:t>Every automation is observable and explainable.</w:t>
      </w:r>
    </w:p>
    <w:p>
      <w:pPr>
        <w:pStyle w:val="ListNumber"/>
      </w:pPr>
      <w:r>
        <w:t>Package upgrades are dependency-aware and conflict-aware.</w:t>
      </w:r>
    </w:p>
    <w:p>
      <w:pPr>
        <w:pStyle w:val="ListNumber"/>
      </w:pPr>
      <w:r>
        <w:t>Prefer the lowest safe configurable layer. Do not make something more programmable than the business need requires.</w:t>
      </w:r>
    </w:p>
    <w:p>
      <w:r>
        <w:t>If Atlas follows these rules, Studio can provide the flexibility normally associated with low-code platforms without sacrificing the coherence expected from a serious ERP/MRP system. That is the product opportunity: one connected operating system that can adapt to a business while still behaving like one system.</w:t>
      </w:r>
    </w:p>
    <w:p>
      <w:pPr>
        <w:pStyle w:val="Heading1"/>
      </w:pPr>
      <w:r>
        <w:t>Appendix A. Core descriptor examples</w:t>
      </w:r>
    </w:p>
    <w:p>
      <w:pPr>
        <w:pStyle w:val="CodeBlock"/>
        <w:shd w:fill="F1F5F9"/>
      </w:pPr>
      <w:r>
        <w:t>export type EntityDescriptor = {</w:t>
        <w:br/>
        <w:t xml:space="preserve">  id: string;                 // e.g. 'sales.order'</w:t>
        <w:br/>
        <w:t xml:space="preserve">  version: number;</w:t>
        <w:br/>
        <w:t xml:space="preserve">  moduleId: string;</w:t>
        <w:br/>
        <w:t xml:space="preserve">  label: string;</w:t>
        <w:br/>
        <w:t xml:space="preserve">  key: { type: 'uuid' | 'string' };</w:t>
        <w:br/>
        <w:t xml:space="preserve">  route?: (id: string) =&gt; string;</w:t>
        <w:br/>
        <w:t xml:space="preserve">  fields: FieldDescriptor[];</w:t>
        <w:br/>
        <w:t xml:space="preserve">  extensionPolicy: {</w:t>
        <w:br/>
        <w:t xml:space="preserve">    customFields: boolean;</w:t>
        <w:br/>
        <w:t xml:space="preserve">    recordTypes: boolean;</w:t>
        <w:br/>
        <w:t xml:space="preserve">    pageVariants: boolean;</w:t>
        <w:br/>
        <w:t xml:space="preserve">  };</w:t>
        <w:br/>
        <w:t>};</w:t>
        <w:br/>
        <w:br/>
        <w:t>export type QueryDescriptor&lt;I, O&gt; = {</w:t>
        <w:br/>
        <w:t xml:space="preserve">  id: string;</w:t>
        <w:br/>
        <w:t xml:space="preserve">  version: number;</w:t>
        <w:br/>
        <w:t xml:space="preserve">  capability: string;</w:t>
        <w:br/>
        <w:t xml:space="preserve">  input: ZodType&lt;I&gt;;</w:t>
        <w:br/>
        <w:t xml:space="preserve">  output: ZodType&lt;O&gt;;</w:t>
        <w:br/>
        <w:t xml:space="preserve">  pagination?: 'cursor' | 'page' | 'none';</w:t>
        <w:br/>
        <w:t xml:space="preserve">  costClass: 'low' | 'medium' | 'high';</w:t>
        <w:br/>
        <w:t xml:space="preserve">  execute(ctx: QueryContext, input: I): Promise&lt;O&gt;;</w:t>
        <w:br/>
        <w:t>};</w:t>
        <w:br/>
        <w:br/>
        <w:t>export type EventDescriptor&lt;T&gt; = {</w:t>
        <w:br/>
        <w:t xml:space="preserve">  id: string;</w:t>
        <w:br/>
        <w:t xml:space="preserve">  schemaVersion: number;</w:t>
        <w:br/>
        <w:t xml:space="preserve">  payload: ZodType&lt;T&gt;;</w:t>
        <w:br/>
        <w:t xml:space="preserve">  classification: 'public_internal' | 'confidential' | 'restricted';</w:t>
        <w:br/>
        <w:t xml:space="preserve">  orderingKey?: (event: T) =&gt; string | undefined;</w:t>
        <w:br/>
        <w:t>};</w:t>
      </w:r>
    </w:p>
    <w:p>
      <w:pPr>
        <w:pStyle w:val="Heading1"/>
      </w:pPr>
      <w:r>
        <w:t>Appendix B. Suggested flow step state machine</w:t>
      </w:r>
    </w:p>
    <w:p>
      <w:pPr>
        <w:pStyle w:val="CodeBlock"/>
        <w:shd w:fill="F1F5F9"/>
      </w:pPr>
      <w:r>
        <w:t>PENDING</w:t>
        <w:br/>
        <w:t xml:space="preserve">  -&gt; READY</w:t>
        <w:br/>
        <w:t xml:space="preserve">  -&gt; RUNNING</w:t>
        <w:br/>
        <w:t xml:space="preserve">      -&gt; SUCCEEDED</w:t>
        <w:br/>
        <w:t xml:space="preserve">      -&gt; WAITING</w:t>
        <w:br/>
        <w:t xml:space="preserve">      -&gt; RETRY_SCHEDULED</w:t>
        <w:br/>
        <w:t xml:space="preserve">      -&gt; UNKNOWN_EXTERNAL_STATE</w:t>
        <w:br/>
        <w:t xml:space="preserve">      -&gt; FAILED_TERMINAL</w:t>
        <w:br/>
        <w:t xml:space="preserve">      -&gt; CANCELLED</w:t>
        <w:br/>
        <w:br/>
        <w:t>WAITING -&gt; READY when timer/event/approval condition is satisfied</w:t>
        <w:br/>
        <w:t>RETRY_SCHEDULED -&gt; READY when nextAttemptAt is reached</w:t>
        <w:br/>
        <w:t>UNKNOWN_EXTERNAL_STATE -&gt; SUCCEEDED | FAILED_TERMINAL | READY only through reconciliation policy</w:t>
      </w:r>
    </w:p>
    <w:p>
      <w:pPr>
        <w:pStyle w:val="Heading1"/>
      </w:pPr>
      <w:r>
        <w:t>Appendix C. Error taxonomy</w:t>
      </w:r>
    </w:p>
    <w:p>
      <w:pPr>
        <w:spacing w:after="20"/>
      </w:pPr>
      <w:r>
        <w:rPr>
          <w:rFonts w:ascii="Aptos" w:hAnsi="Aptos"/>
          <w:color w:val="334155"/>
          <w:sz w:val="17"/>
        </w:rPr>
        <w:t>Class  Retry?  Example  Expected handling</w:t>
      </w:r>
    </w:p>
    <w:p>
      <w:pPr>
        <w:spacing w:after="20"/>
      </w:pPr>
      <w:r>
        <w:rPr>
          <w:rFonts w:ascii="Aptos" w:hAnsi="Aptos"/>
          <w:color w:val="334155"/>
          <w:sz w:val="17"/>
        </w:rPr>
        <w:t>VALIDATION  No  Command input no longer valid  Fail step, show business-safe detail.</w:t>
      </w:r>
    </w:p>
    <w:p>
      <w:pPr>
        <w:spacing w:after="20"/>
      </w:pPr>
      <w:r>
        <w:rPr>
          <w:rFonts w:ascii="Aptos" w:hAnsi="Aptos"/>
          <w:color w:val="334155"/>
          <w:sz w:val="17"/>
        </w:rPr>
        <w:t>FORBIDDEN  No  Actor/system identity lacks required capability  Fail and audit. Never retry as a stronger identity.</w:t>
      </w:r>
    </w:p>
    <w:p>
      <w:pPr>
        <w:spacing w:after="20"/>
      </w:pPr>
      <w:r>
        <w:rPr>
          <w:rFonts w:ascii="Aptos" w:hAnsi="Aptos"/>
          <w:color w:val="334155"/>
          <w:sz w:val="17"/>
        </w:rPr>
        <w:t>CONFLICT  Usually re-query  Record revision changed  Refresh facts, branch or require human resolution.</w:t>
      </w:r>
    </w:p>
    <w:p>
      <w:pPr>
        <w:spacing w:after="20"/>
      </w:pPr>
      <w:r>
        <w:rPr>
          <w:rFonts w:ascii="Aptos" w:hAnsi="Aptos"/>
          <w:color w:val="334155"/>
          <w:sz w:val="17"/>
        </w:rPr>
        <w:t>NOT_FOUND  Depends  Referenced record removed/hidden  Re-query dependencies; normally terminal for same input.</w:t>
      </w:r>
    </w:p>
    <w:p>
      <w:pPr>
        <w:spacing w:after="20"/>
      </w:pPr>
      <w:r>
        <w:rPr>
          <w:rFonts w:ascii="Aptos" w:hAnsi="Aptos"/>
          <w:color w:val="334155"/>
          <w:sz w:val="17"/>
        </w:rPr>
        <w:t>RATE_LIMIT  Yes  Provider 429  Retry after provider hint with back-off.</w:t>
      </w:r>
    </w:p>
    <w:p>
      <w:pPr>
        <w:spacing w:after="20"/>
      </w:pPr>
      <w:r>
        <w:rPr>
          <w:rFonts w:ascii="Aptos" w:hAnsi="Aptos"/>
          <w:color w:val="334155"/>
          <w:sz w:val="17"/>
        </w:rPr>
        <w:t>TRANSIENT  Yes  Temporary DB/network/provider issue  Bounded retry.</w:t>
      </w:r>
    </w:p>
    <w:p>
      <w:pPr>
        <w:spacing w:after="20"/>
      </w:pPr>
      <w:r>
        <w:rPr>
          <w:rFonts w:ascii="Aptos" w:hAnsi="Aptos"/>
          <w:color w:val="334155"/>
          <w:sz w:val="17"/>
        </w:rPr>
        <w:t>EXTERNAL_UNKNOWN  Reconcile  Timeout after sending payment/shipment/message  Do not blind retry.</w:t>
      </w:r>
    </w:p>
    <w:p>
      <w:pPr>
        <w:spacing w:after="20"/>
      </w:pPr>
      <w:r>
        <w:rPr>
          <w:rFonts w:ascii="Aptos" w:hAnsi="Aptos"/>
          <w:color w:val="334155"/>
          <w:sz w:val="17"/>
        </w:rPr>
        <w:t>DEPENDENCY_BROKEN  No until fixed  Module disabled or contract missing  Pause/fail definition and surface health alert.</w:t>
      </w:r>
    </w:p>
    <w:p>
      <w:pPr>
        <w:spacing w:after="20"/>
      </w:pPr>
      <w:r>
        <w:rPr>
          <w:rFonts w:ascii="Aptos" w:hAnsi="Aptos"/>
          <w:color w:val="334155"/>
          <w:sz w:val="17"/>
        </w:rPr>
        <w:t>BUG  No automatic endless retry  Unexpected exception  Capture diagnostic ID, dead-letter and Guardian hand-off.</w:t>
      </w:r>
    </w:p>
    <w:p>
      <w:pPr>
        <w:pStyle w:val="Heading1"/>
      </w:pPr>
      <w:r>
        <w:t>Appendix D. Research and implementation evidence base</w:t>
      </w:r>
    </w:p>
    <w:p>
      <w:pPr>
        <w:pStyle w:val="ListBullet"/>
      </w:pPr>
      <w:r>
        <w:t>Atlas repository architecture and agent instructions as of 9 October 2026.</w:t>
      </w:r>
    </w:p>
    <w:p>
      <w:pPr>
        <w:pStyle w:val="ListBullet"/>
      </w:pPr>
      <w:r>
        <w:t>docs/ARCHITECTURE.md: Core + Modules ownership and cross-module communication.</w:t>
      </w:r>
    </w:p>
    <w:p>
      <w:pPr>
        <w:pStyle w:val="ListBullet"/>
      </w:pPr>
      <w:r>
        <w:t>docs/MODULE_SPEC.md: module manifest, capabilities, events and provider pattern.</w:t>
      </w:r>
    </w:p>
    <w:p>
      <w:pPr>
        <w:pStyle w:val="ListBullet"/>
      </w:pPr>
      <w:r>
        <w:t>docs/DATA_MODEL.md: tenancy, canonical Party and shared records.</w:t>
      </w:r>
    </w:p>
    <w:p>
      <w:pPr>
        <w:pStyle w:val="ListBullet"/>
      </w:pPr>
      <w:r>
        <w:t>docs/PERMISSIONS.md: capability-based permissions and server-side enforcement.</w:t>
      </w:r>
    </w:p>
    <w:p>
      <w:pPr>
        <w:pStyle w:val="ListBullet"/>
      </w:pPr>
      <w:r>
        <w:t>src/core/modules/types.ts: current provider-rich ModuleManifest contract.</w:t>
      </w:r>
    </w:p>
    <w:p>
      <w:pPr>
        <w:pStyle w:val="ListBullet"/>
      </w:pPr>
      <w:r>
        <w:t>src/core/modules/registry.ts: current implemented module catalogue.</w:t>
      </w:r>
    </w:p>
    <w:p>
      <w:pPr>
        <w:pStyle w:val="ListBullet"/>
      </w:pPr>
      <w:r>
        <w:t>src/core/events/bus.ts: current event and persistence foundations.</w:t>
      </w:r>
    </w:p>
    <w:p>
      <w:pPr>
        <w:pStyle w:val="ListBullet"/>
      </w:pPr>
      <w:r>
        <w:t>.ai/PROJECT_MEMORY.md and .ai/MODULES.md: current product principles and module map.</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Atlas Studio Platform Architecture • 9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1182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ptos Display" w:hAnsi="Aptos Display"/>
      <w:b w:val="0"/>
      <w:i/>
      <w:iCs/>
      <w:color w:val="475569"/>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144"/>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Studio: Platform Architecture and Implementation Specification</dc:title>
  <dc:subject>Architecture and implementation specification for Atlas Studio</dc:subject>
  <dc:creator>OpenAI</dc:creator>
  <cp:keywords>Atlas, Studio, ERP, MRP, architecture, workflow, low-code, orchestration</cp:keywords>
  <dc:description>generated by python-docx</dc:description>
  <cp:lastModifiedBy/>
  <cp:revision>1</cp:revision>
  <dcterms:created xsi:type="dcterms:W3CDTF">2013-12-23T23:15:00Z</dcterms:created>
  <dcterms:modified xsi:type="dcterms:W3CDTF">2013-12-23T23:15:00Z</dcterms:modified>
  <cp:category/>
</cp:coreProperties>
</file>