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2"/>
          <w:szCs w:val="52"/>
        </w:rPr>
        <w:t xml:space="preserve">TOP PERFORMER COACH</w:t>
      </w:r>
    </w:p>
    <w:p>
      <w:pPr>
        <w:spacing w:after="400"/>
        <w:jc w:val="center"/>
      </w:pPr>
      <w:r>
        <w:rPr>
          <w:rFonts w:ascii="Arial" w:cs="Arial" w:eastAsia="Arial" w:hAnsi="Arial"/>
          <w:color w:val="2C3E50"/>
          <w:sz w:val="40"/>
          <w:szCs w:val="40"/>
        </w:rPr>
        <w:t xml:space="preserve">Intellectual Property Protection</w:t>
      </w:r>
    </w:p>
    <w:p>
      <w:pPr>
        <w:spacing w:after="100"/>
        <w:jc w:val="center"/>
      </w:pPr>
      <w:r>
        <w:rPr>
          <w:rFonts w:ascii="Arial" w:cs="Arial" w:eastAsia="Arial" w:hAnsi="Arial"/>
          <w:color w:val="2980B9"/>
          <w:sz w:val="32"/>
          <w:szCs w:val="32"/>
        </w:rPr>
        <w:t xml:space="preserve">Action Plan &amp; Documentation Guide</w:t>
      </w:r>
    </w:p>
    <w:p>
      <w:pPr>
        <w:spacing w:after="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980B9" w:sz="2"/>
              <w:left w:val="none" w:sz="0"/>
              <w:bottom w:val="none" w:sz="0"/>
              <w:right w:val="none" w:sz="0"/>
            </w:tcBorders>
            <w:tcMar>
              <w:top w:type="dxa" w:w="200"/>
              <w:left w:type="dxa" w:w="0"/>
              <w:bottom w:type="dxa" w:w="0"/>
              <w:right w:type="dxa" w:w="0"/>
            </w:tcMar>
          </w:tcPr>
          <w:p>
            <w:pPr>
              <w:jc w:val="center"/>
            </w:pPr>
            <w:r>
              <w:rPr>
                <w:rFonts w:ascii="Arial" w:cs="Arial" w:eastAsia="Arial" w:hAnsi="Arial"/>
                <w:b/>
                <w:bCs/>
                <w:color w:val="E74C3C"/>
                <w:sz w:val="28"/>
                <w:szCs w:val="28"/>
              </w:rPr>
              <w:t xml:space="preserve">CONFIDENTIAL</w:t>
            </w:r>
          </w:p>
          <w:p>
            <w:pPr>
              <w:spacing w:after="60"/>
              <w:jc w:val="center"/>
            </w:pPr>
            <w:r>
              <w:rPr>
                <w:rFonts w:ascii="Arial" w:cs="Arial" w:eastAsia="Arial" w:hAnsi="Arial"/>
                <w:color w:val="7F8C8D"/>
                <w:sz w:val="20"/>
                <w:szCs w:val="20"/>
              </w:rPr>
              <w:t xml:space="preserve">Prepared: February 14, 2026</w:t>
            </w:r>
          </w:p>
          <w:p>
            <w:pPr>
              <w:jc w:val="center"/>
            </w:pPr>
            <w:r>
              <w:rPr>
                <w:rFonts w:ascii="Arial" w:cs="Arial" w:eastAsia="Arial" w:hAnsi="Arial"/>
                <w:color w:val="7F8C8D"/>
                <w:sz w:val="20"/>
                <w:szCs w:val="20"/>
              </w:rPr>
              <w:t xml:space="preserve">For: Mike Perkins, Founder</w:t>
            </w:r>
          </w:p>
        </w:tc>
      </w:tr>
    </w:tbl>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provides a comprehensive intellectual property protection strategy for Top Performer Coach, a mental performance training app delivering 273 daily sessions across 39 mental models through 13 AI coach personas. As a content-driven product operating at the intersection of coaching, education, and AI delivery, the IP portfolio requires multi-layered protection spanning copyright, trade secrets, trademarks, and active enforcement.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Current Protection Status</w:t>
            </w:r>
          </w:p>
          <w:p>
            <w:r>
              <w:rPr>
                <w:rFonts w:ascii="Arial" w:cs="Arial" w:eastAsia="Arial" w:hAnsi="Arial"/>
                <w:sz w:val="20"/>
                <w:szCs w:val="20"/>
              </w:rPr>
              <w:t xml:space="preserve">Technical safeguards are ACTIVE: API lockdown with Supabase RLS, SHA-256 content fingerprinting, DMCA policy deployed, AI training prohibition in Terms of Service, and abuse detection system. This document addresses the LEGAL and OPERATIONAL layers that complete the protection framework.</w:t>
            </w:r>
          </w:p>
        </w:tc>
      </w:tr>
    </w:tbl>
    <w:p>
      <w:pPr>
        <w:spacing w:after="200"/>
      </w:pPr>
    </w:p>
    <w:p>
      <w:pPr>
        <w:pStyle w:val="Heading1"/>
      </w:pPr>
      <w:r>
        <w:t xml:space="preserve">2. Copyright Registration Strategy</w:t>
      </w:r>
    </w:p>
    <w:p>
      <w:pPr>
        <w:spacing w:after="120"/>
      </w:pPr>
      <w:r>
        <w:rPr>
          <w:rFonts w:ascii="Arial" w:cs="Arial" w:eastAsia="Arial" w:hAnsi="Arial"/>
          <w:sz w:val="22"/>
          <w:szCs w:val="22"/>
        </w:rPr>
        <w:t xml:space="preserve">Your content is automatically copyrighted upon creation. However, formal registration with the U.S. Copyright Office unlocks critical legal advantages that make enforcement practical and financially viable.</w:t>
      </w:r>
    </w:p>
    <w:p>
      <w:pPr>
        <w:spacing w:after="200"/>
      </w:pPr>
    </w:p>
    <w:p>
      <w:pPr>
        <w:pStyle w:val="Heading2"/>
      </w:pPr>
      <w:r>
        <w:t xml:space="preserve">2.1 Why Register (The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Key Advantage</w:t>
            </w:r>
          </w:p>
          <w:p>
            <w:r>
              <w:rPr>
                <w:rFonts w:ascii="Arial" w:cs="Arial" w:eastAsia="Arial" w:hAnsi="Arial"/>
                <w:sz w:val="20"/>
                <w:szCs w:val="20"/>
              </w:rPr>
              <w:t xml:space="preserve">Without registration, you can only recover actual damages (what you lost). With registration BEFORE infringement, you can recover statutory damages up to $150,000 PER WORK infringed, plus attorney fees. This is the difference between a cease-and-desist having teeth versus being a suggestion.</w:t>
            </w:r>
          </w:p>
        </w:tc>
      </w:tr>
    </w:tbl>
    <w:p>
      <w:pPr>
        <w:spacing w:after="200"/>
      </w:pPr>
    </w:p>
    <w:p>
      <w:pPr>
        <w:spacing w:after="120"/>
      </w:pPr>
      <w:r>
        <w:rPr>
          <w:rFonts w:ascii="Arial" w:cs="Arial" w:eastAsia="Arial" w:hAnsi="Arial"/>
          <w:sz w:val="22"/>
          <w:szCs w:val="22"/>
        </w:rPr>
        <w:t xml:space="preserve">Registration before infringement (or within 3 months of publication) grants: </w:t>
      </w:r>
    </w:p>
    <w:p>
      <w:pPr>
        <w:pStyle w:val="ListParagraph"/>
        <w:numPr>
          <w:ilvl w:val="0"/>
          <w:numId w:val="2"/>
        </w:numPr>
        <w:spacing w:after="80"/>
      </w:pPr>
      <w:r>
        <w:rPr>
          <w:rFonts w:ascii="Arial" w:cs="Arial" w:eastAsia="Arial" w:hAnsi="Arial"/>
          <w:sz w:val="22"/>
          <w:szCs w:val="22"/>
        </w:rPr>
        <w:t xml:space="preserve">Statutory damages: $750 to $30,000 per work infringed (up to $150,000 for willful infringement)</w:t>
      </w:r>
    </w:p>
    <w:p>
      <w:pPr>
        <w:pStyle w:val="ListParagraph"/>
        <w:numPr>
          <w:ilvl w:val="0"/>
          <w:numId w:val="2"/>
        </w:numPr>
        <w:spacing w:after="80"/>
      </w:pPr>
      <w:r>
        <w:rPr>
          <w:rFonts w:ascii="Arial" w:cs="Arial" w:eastAsia="Arial" w:hAnsi="Arial"/>
          <w:sz w:val="22"/>
          <w:szCs w:val="22"/>
        </w:rPr>
        <w:t xml:space="preserve">Attorney fees recoverable from the infringer (makes enforcement financially viable)</w:t>
      </w:r>
    </w:p>
    <w:p>
      <w:pPr>
        <w:pStyle w:val="ListParagraph"/>
        <w:numPr>
          <w:ilvl w:val="0"/>
          <w:numId w:val="2"/>
        </w:numPr>
        <w:spacing w:after="80"/>
      </w:pPr>
      <w:r>
        <w:rPr>
          <w:rFonts w:ascii="Arial" w:cs="Arial" w:eastAsia="Arial" w:hAnsi="Arial"/>
          <w:sz w:val="22"/>
          <w:szCs w:val="22"/>
        </w:rPr>
        <w:t xml:space="preserve">Prima facie evidence of copyright validity (shifts burden of proof to infringer)</w:t>
      </w:r>
    </w:p>
    <w:p>
      <w:pPr>
        <w:pStyle w:val="ListParagraph"/>
        <w:numPr>
          <w:ilvl w:val="0"/>
          <w:numId w:val="2"/>
        </w:numPr>
        <w:spacing w:after="80"/>
      </w:pPr>
      <w:r>
        <w:rPr>
          <w:rFonts w:ascii="Arial" w:cs="Arial" w:eastAsia="Arial" w:hAnsi="Arial"/>
          <w:sz w:val="22"/>
          <w:szCs w:val="22"/>
        </w:rPr>
        <w:t xml:space="preserve">Ability to file suit in federal court (required for enforcement)</w:t>
      </w:r>
    </w:p>
    <w:p>
      <w:pPr>
        <w:pStyle w:val="ListParagraph"/>
        <w:numPr>
          <w:ilvl w:val="0"/>
          <w:numId w:val="2"/>
        </w:numPr>
        <w:spacing w:after="80"/>
      </w:pPr>
      <w:r>
        <w:rPr>
          <w:rFonts w:ascii="Arial" w:cs="Arial" w:eastAsia="Arial" w:hAnsi="Arial"/>
          <w:sz w:val="22"/>
          <w:szCs w:val="22"/>
        </w:rPr>
        <w:t xml:space="preserve">U.S. Customs recordation to block infringing imports</w:t>
      </w:r>
    </w:p>
    <w:p>
      <w:pPr>
        <w:spacing w:after="200"/>
      </w:pPr>
    </w:p>
    <w:p>
      <w:pPr>
        <w:pStyle w:val="Heading2"/>
      </w:pPr>
      <w:r>
        <w:t xml:space="preserve">2.2 Content Inventory for Registration</w:t>
      </w:r>
    </w:p>
    <w:p>
      <w:pPr>
        <w:spacing w:after="120"/>
      </w:pPr>
      <w:r>
        <w:rPr>
          <w:rFonts w:ascii="Arial" w:cs="Arial" w:eastAsia="Arial" w:hAnsi="Arial"/>
          <w:sz w:val="22"/>
          <w:szCs w:val="22"/>
        </w:rPr>
        <w:t xml:space="preserve">The following table catalogs all copyrightable assets and recommended filing strategies: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600"/>
        <w:gridCol w:w="2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Copyright 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Filing Strategy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Coach Personas (13)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Literary Character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Original creative works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Register as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Mental Models (39)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Educational Framework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Curated methodology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as compilation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Daily Sessions (273)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Instructional Content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Original scripts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Register as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Scripts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Literary 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dialogue + prompts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register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 UI/UX Design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Visual Work</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Screen layouts, flows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Screenshot deposits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Literary 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Taglines, descriptions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 in batch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Brand Assets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Visual Work</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Logo, icon, color system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Trademark + copyright</w:t>
            </w:r>
          </w:p>
        </w:tc>
      </w:tr>
    </w:tbl>
    <w:p>
      <w:pPr>
        <w:spacing w:after="200"/>
      </w:pPr>
    </w:p>
    <w:p>
      <w:pPr>
        <w:pStyle w:val="Heading2"/>
      </w:pPr>
      <w:r>
        <w:t xml:space="preserve">2.3 Filing Process (Step-by-Step)</w:t>
      </w:r>
    </w:p>
    <w:p>
      <w:pPr>
        <w:spacing w:after="120"/>
      </w:pPr>
      <w:r>
        <w:rPr>
          <w:rFonts w:ascii="Arial" w:cs="Arial" w:eastAsia="Arial" w:hAnsi="Arial"/>
          <w:sz w:val="22"/>
          <w:szCs w:val="22"/>
        </w:rPr>
        <w:t xml:space="preserve">All registrations are filed through the U.S. Copyright Office Electronic Copyright Office (eCO) system at copyright.gov.</w:t>
      </w:r>
    </w:p>
    <w:p>
      <w:pPr>
        <w:spacing w:after="200"/>
      </w:pPr>
    </w:p>
    <w:p>
      <w:pPr>
        <w:pStyle w:val="Heading3"/>
      </w:pPr>
      <w:r>
        <w:t xml:space="preserve">Step 1: Prepare Deposit Materials</w:t>
      </w:r>
    </w:p>
    <w:p>
      <w:pPr>
        <w:pStyle w:val="ListParagraph"/>
        <w:numPr>
          <w:ilvl w:val="0"/>
          <w:numId w:val="3"/>
        </w:numPr>
        <w:spacing w:after="80"/>
      </w:pPr>
      <w:r>
        <w:rPr>
          <w:rFonts w:ascii="Arial" w:cs="Arial" w:eastAsia="Arial" w:hAnsi="Arial"/>
          <w:sz w:val="22"/>
          <w:szCs w:val="22"/>
        </w:rPr>
        <w:t xml:space="preserve">Export all 273 session scripts as a single PDF document with table of contents</w:t>
      </w:r>
    </w:p>
    <w:p>
      <w:pPr>
        <w:pStyle w:val="ListParagraph"/>
        <w:numPr>
          <w:ilvl w:val="0"/>
          <w:numId w:val="3"/>
        </w:numPr>
        <w:spacing w:after="80"/>
      </w:pPr>
      <w:r>
        <w:rPr>
          <w:rFonts w:ascii="Arial" w:cs="Arial" w:eastAsia="Arial" w:hAnsi="Arial"/>
          <w:sz w:val="22"/>
          <w:szCs w:val="22"/>
        </w:rPr>
        <w:t xml:space="preserve">Create a separate document for the 13 coach persona profiles (name, personality, teaching style, sample dialogue)</w:t>
      </w:r>
    </w:p>
    <w:p>
      <w:pPr>
        <w:pStyle w:val="ListParagraph"/>
        <w:numPr>
          <w:ilvl w:val="0"/>
          <w:numId w:val="3"/>
        </w:numPr>
        <w:spacing w:after="80"/>
      </w:pPr>
      <w:r>
        <w:rPr>
          <w:rFonts w:ascii="Arial" w:cs="Arial" w:eastAsia="Arial" w:hAnsi="Arial"/>
          <w:sz w:val="22"/>
          <w:szCs w:val="22"/>
        </w:rPr>
        <w:t xml:space="preserve">Document the 39 mental model framework as a compilation (model names, descriptions, categorization system)</w:t>
      </w:r>
    </w:p>
    <w:p>
      <w:pPr>
        <w:pStyle w:val="ListParagraph"/>
        <w:numPr>
          <w:ilvl w:val="0"/>
          <w:numId w:val="3"/>
        </w:numPr>
        <w:spacing w:after="80"/>
      </w:pPr>
      <w:r>
        <w:rPr>
          <w:rFonts w:ascii="Arial" w:cs="Arial" w:eastAsia="Arial" w:hAnsi="Arial"/>
          <w:sz w:val="22"/>
          <w:szCs w:val="22"/>
        </w:rPr>
        <w:t xml:space="preserve">Take timestamped screenshots of app UI/UX for visual work registration</w:t>
      </w:r>
    </w:p>
    <w:p>
      <w:pPr>
        <w:spacing w:after="200"/>
      </w:pPr>
    </w:p>
    <w:p>
      <w:pPr>
        <w:pStyle w:val="Heading3"/>
      </w:pPr>
      <w:r>
        <w:t xml:space="preserve">Step 2: File on eCO (copyright.gov)</w:t>
      </w:r>
    </w:p>
    <w:p>
      <w:pPr>
        <w:pStyle w:val="ListParagraph"/>
        <w:numPr>
          <w:ilvl w:val="0"/>
          <w:numId w:val="3"/>
        </w:numPr>
        <w:spacing w:after="80"/>
      </w:pPr>
      <w:r>
        <w:rPr>
          <w:rFonts w:ascii="Arial" w:cs="Arial" w:eastAsia="Arial" w:hAnsi="Arial"/>
          <w:sz w:val="22"/>
          <w:szCs w:val="22"/>
        </w:rPr>
        <w:t xml:space="preserve">Create an account at copyright.gov/registration</w:t>
      </w:r>
    </w:p>
    <w:p>
      <w:pPr>
        <w:pStyle w:val="ListParagraph"/>
        <w:numPr>
          <w:ilvl w:val="0"/>
          <w:numId w:val="3"/>
        </w:numPr>
        <w:spacing w:after="80"/>
      </w:pPr>
      <w:r>
        <w:rPr>
          <w:rFonts w:ascii="Arial" w:cs="Arial" w:eastAsia="Arial" w:hAnsi="Arial"/>
          <w:sz w:val="22"/>
          <w:szCs w:val="22"/>
        </w:rPr>
        <w:t xml:space="preserve">Select 'Literary Work' for session scripts and persona profiles</w:t>
      </w:r>
    </w:p>
    <w:p>
      <w:pPr>
        <w:pStyle w:val="ListParagraph"/>
        <w:numPr>
          <w:ilvl w:val="0"/>
          <w:numId w:val="3"/>
        </w:numPr>
        <w:spacing w:after="80"/>
      </w:pPr>
      <w:r>
        <w:rPr>
          <w:rFonts w:ascii="Arial" w:cs="Arial" w:eastAsia="Arial" w:hAnsi="Arial"/>
          <w:sz w:val="22"/>
          <w:szCs w:val="22"/>
        </w:rPr>
        <w:t xml:space="preserve">For the session collection, use 'Group Registration for Unpublished Works' (saves fees by bundling up to 10 works per application)</w:t>
      </w:r>
    </w:p>
    <w:p>
      <w:pPr>
        <w:pStyle w:val="ListParagraph"/>
        <w:numPr>
          <w:ilvl w:val="0"/>
          <w:numId w:val="3"/>
        </w:numPr>
        <w:spacing w:after="80"/>
      </w:pPr>
      <w:r>
        <w:rPr>
          <w:rFonts w:ascii="Arial" w:cs="Arial" w:eastAsia="Arial" w:hAnsi="Arial"/>
          <w:sz w:val="22"/>
          <w:szCs w:val="22"/>
        </w:rPr>
        <w:t xml:space="preserve">Author: Mike Perkins / Top Performer</w:t>
      </w:r>
    </w:p>
    <w:p>
      <w:pPr>
        <w:pStyle w:val="ListParagraph"/>
        <w:numPr>
          <w:ilvl w:val="0"/>
          <w:numId w:val="3"/>
        </w:numPr>
        <w:spacing w:after="80"/>
      </w:pPr>
      <w:r>
        <w:rPr>
          <w:rFonts w:ascii="Arial" w:cs="Arial" w:eastAsia="Arial" w:hAnsi="Arial"/>
          <w:sz w:val="22"/>
          <w:szCs w:val="22"/>
        </w:rPr>
        <w:t xml:space="preserve">Claimant: Top Performer (or your legal entity name)</w:t>
      </w:r>
    </w:p>
    <w:p>
      <w:pPr>
        <w:pStyle w:val="ListParagraph"/>
        <w:numPr>
          <w:ilvl w:val="0"/>
          <w:numId w:val="3"/>
        </w:numPr>
        <w:spacing w:after="80"/>
      </w:pPr>
      <w:r>
        <w:rPr>
          <w:rFonts w:ascii="Arial" w:cs="Arial" w:eastAsia="Arial" w:hAnsi="Arial"/>
          <w:sz w:val="22"/>
          <w:szCs w:val="22"/>
        </w:rPr>
        <w:t xml:space="preserve">Upload deposit materials (PDF format preferred)</w:t>
      </w:r>
    </w:p>
    <w:p>
      <w:pPr>
        <w:pStyle w:val="ListParagraph"/>
        <w:numPr>
          <w:ilvl w:val="0"/>
          <w:numId w:val="3"/>
        </w:numPr>
        <w:spacing w:after="80"/>
      </w:pPr>
      <w:r>
        <w:rPr>
          <w:rFonts w:ascii="Arial" w:cs="Arial" w:eastAsia="Arial" w:hAnsi="Arial"/>
          <w:sz w:val="22"/>
          <w:szCs w:val="22"/>
        </w:rPr>
        <w:t xml:space="preserve">Pay filing fee ($65 for single work, $85 for group registration)</w:t>
      </w:r>
    </w:p>
    <w:p>
      <w:pPr>
        <w:spacing w:after="200"/>
      </w:pPr>
    </w:p>
    <w:p>
      <w:pPr>
        <w:pStyle w:val="Heading3"/>
      </w:pPr>
      <w:r>
        <w:t xml:space="preserve">Step 3: Trademark Filing</w:t>
      </w:r>
    </w:p>
    <w:p>
      <w:pPr>
        <w:spacing w:after="120"/>
      </w:pPr>
      <w:r>
        <w:rPr>
          <w:rFonts w:ascii="Arial" w:cs="Arial" w:eastAsia="Arial" w:hAnsi="Arial"/>
          <w:sz w:val="22"/>
          <w:szCs w:val="22"/>
        </w:rPr>
        <w:t xml:space="preserve">File a federal trademark application with the USPTO for:</w:t>
      </w:r>
    </w:p>
    <w:p>
      <w:pPr>
        <w:pStyle w:val="ListParagraph"/>
        <w:numPr>
          <w:ilvl w:val="0"/>
          <w:numId w:val="2"/>
        </w:numPr>
        <w:spacing w:after="80"/>
      </w:pPr>
      <w:r>
        <w:rPr>
          <w:rFonts w:ascii="Arial" w:cs="Arial" w:eastAsia="Arial" w:hAnsi="Arial"/>
          <w:sz w:val="22"/>
          <w:szCs w:val="22"/>
        </w:rPr>
        <w:t xml:space="preserve">'Top Performer Coach' - Word mark in International Class 9 (software) and Class 41 (education/training)</w:t>
      </w:r>
    </w:p>
    <w:p>
      <w:pPr>
        <w:pStyle w:val="ListParagraph"/>
        <w:numPr>
          <w:ilvl w:val="0"/>
          <w:numId w:val="2"/>
        </w:numPr>
        <w:spacing w:after="80"/>
      </w:pPr>
      <w:r>
        <w:rPr>
          <w:rFonts w:ascii="Arial" w:cs="Arial" w:eastAsia="Arial" w:hAnsi="Arial"/>
          <w:sz w:val="22"/>
          <w:szCs w:val="22"/>
        </w:rPr>
        <w:t xml:space="preserve">App icon/logo - Design mark in same classes</w:t>
      </w:r>
    </w:p>
    <w:p>
      <w:pPr>
        <w:pStyle w:val="ListParagraph"/>
        <w:numPr>
          <w:ilvl w:val="0"/>
          <w:numId w:val="2"/>
        </w:numPr>
        <w:spacing w:after="80"/>
      </w:pPr>
      <w:r>
        <w:rPr>
          <w:rFonts w:ascii="Arial" w:cs="Arial" w:eastAsia="Arial" w:hAnsi="Arial"/>
          <w:sz w:val="22"/>
          <w:szCs w:val="22"/>
        </w:rPr>
        <w:t xml:space="preserve">Consider: 'Mental Models for Peak Growth' as a supplemental mark</w:t>
      </w:r>
    </w:p>
    <w:p>
      <w:pPr>
        <w:spacing w:after="120"/>
      </w:pPr>
      <w:r>
        <w:rPr>
          <w:rFonts w:ascii="Arial" w:cs="Arial" w:eastAsia="Arial" w:hAnsi="Arial"/>
          <w:sz w:val="22"/>
          <w:szCs w:val="22"/>
        </w:rPr>
        <w:t xml:space="preserve">Filing basis: Use 'In Commerce' (1(a)) since the app is already live on the App Store. Filing fee: $250-350 per class via TEAS Plus.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Estimated Total Cost (First 90 Days)</w:t>
            </w:r>
          </w:p>
          <w:p>
            <w:r>
              <w:rPr>
                <w:rFonts w:ascii="Arial" w:cs="Arial" w:eastAsia="Arial" w:hAnsi="Arial"/>
                <w:sz w:val="20"/>
                <w:szCs w:val="20"/>
              </w:rPr>
              <w:t xml:space="preserve">Copyright registrations: $215-340 (3-4 filings) + Trademark: $500-700 (2 classes) = Total: $715-1,040. This is remarkably affordable protection for an IP portfolio of this size.</w:t>
            </w:r>
          </w:p>
        </w:tc>
      </w:tr>
    </w:tbl>
    <w:p>
      <w:pPr>
        <w:spacing w:after="200"/>
      </w:pPr>
    </w:p>
    <w:p>
      <w:r>
        <w:br w:type="page"/>
      </w:r>
    </w:p>
    <w:p>
      <w:pPr>
        <w:pStyle w:val="Heading1"/>
      </w:pPr>
      <w:r>
        <w:t xml:space="preserve">3. Trade Secret Documentation</w:t>
      </w:r>
    </w:p>
    <w:p>
      <w:pPr>
        <w:spacing w:after="120"/>
      </w:pPr>
      <w:r>
        <w:rPr>
          <w:rFonts w:ascii="Arial" w:cs="Arial" w:eastAsia="Arial" w:hAnsi="Arial"/>
          <w:sz w:val="22"/>
          <w:szCs w:val="22"/>
        </w:rPr>
        <w:t xml:space="preserve">Trade secrets are protected indefinitely as long as they remain secret and you take reasonable measures to protect them. Unlike copyright or patents, there is no registration process. Instead, protection depends entirely on documentation and security practices. The Defend Trade Secrets Act (DTSA) of 2016 provides federal civil remedies, but only if you can demonstrate the information qualifies as a trade secret AND that you took reasonable measures to keep it secret.</w:t>
      </w:r>
    </w:p>
    <w:p>
      <w:pPr>
        <w:spacing w:after="200"/>
      </w:pPr>
    </w:p>
    <w:p>
      <w:pPr>
        <w:pStyle w:val="Heading2"/>
      </w:pPr>
      <w:r>
        <w:t xml:space="preserve">3.1 Trade Secret Inventory</w:t>
      </w:r>
    </w:p>
    <w:p>
      <w:pPr>
        <w:spacing w:after="120"/>
      </w:pPr>
      <w:r>
        <w:rPr>
          <w:rFonts w:ascii="Arial" w:cs="Arial" w:eastAsia="Arial" w:hAnsi="Arial"/>
          <w:sz w:val="22"/>
          <w:szCs w:val="22"/>
        </w:rPr>
        <w:t xml:space="preserve">The following assets constitute trade secrets of Top Performer: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400"/>
        <w:gridCol w:w="1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 Secret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Protection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13-Persona Coaching System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Persona selection logic, personality profiles, progression triggers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Supabase RLS + API lockdown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 only</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 Mental Model 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categorization, sequencing methodology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Fingerprinted (SHA-256)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 dev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Session Generation Logic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How sessions are constructed from models + persona traits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 code repo (private)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 only</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Engagement Algorithm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Progression logic, recommendation engine, streak mechanics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code repo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 dev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Content Delivery Architecture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structure, caching strategy, offline sync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Private GitHub repo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 team</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&amp; Monetization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structure, conversion funnels, paywall triggers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docs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Growth &amp; Acquisition Strategy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Channel mix, CAC targets, referral mechanics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docs only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 only</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r>
    </w:tbl>
    <w:p>
      <w:pPr>
        <w:spacing w:after="200"/>
      </w:pPr>
    </w:p>
    <w:p>
      <w:pPr>
        <w:pStyle w:val="Heading2"/>
      </w:pPr>
      <w:r>
        <w:t xml:space="preserve">3.2 Reasonable Measures Documentation</w:t>
      </w:r>
    </w:p>
    <w:p>
      <w:pPr>
        <w:spacing w:after="120"/>
      </w:pPr>
      <w:r>
        <w:rPr>
          <w:rFonts w:ascii="Arial" w:cs="Arial" w:eastAsia="Arial" w:hAnsi="Arial"/>
          <w:sz w:val="22"/>
          <w:szCs w:val="22"/>
        </w:rPr>
        <w:t xml:space="preserve">Courts evaluate whether a trade secret holder took 'reasonable measures' to protect secrecy. The following measures are currently in place or recommended:</w:t>
      </w:r>
    </w:p>
    <w:p>
      <w:pPr>
        <w:spacing w:after="200"/>
      </w:pPr>
    </w:p>
    <w:p>
      <w:pPr>
        <w:pStyle w:val="Heading3"/>
      </w:pPr>
      <w:r>
        <w:t xml:space="preserve">Technical Measures (Currently Active)</w:t>
      </w:r>
    </w:p>
    <w:p>
      <w:pPr>
        <w:pStyle w:val="ListParagraph"/>
        <w:numPr>
          <w:ilvl w:val="0"/>
          <w:numId w:val="2"/>
        </w:numPr>
        <w:spacing w:after="80"/>
      </w:pPr>
      <w:r>
        <w:rPr>
          <w:rFonts w:ascii="Arial" w:cs="Arial" w:eastAsia="Arial" w:hAnsi="Arial"/>
          <w:sz w:val="22"/>
          <w:szCs w:val="22"/>
        </w:rPr>
        <w:t xml:space="preserve">Supabase Row-Level Security (RLS) policies restrict content access to authenticated users only</w:t>
      </w:r>
    </w:p>
    <w:p>
      <w:pPr>
        <w:pStyle w:val="ListParagraph"/>
        <w:numPr>
          <w:ilvl w:val="0"/>
          <w:numId w:val="2"/>
        </w:numPr>
        <w:spacing w:after="80"/>
      </w:pPr>
      <w:r>
        <w:rPr>
          <w:rFonts w:ascii="Arial" w:cs="Arial" w:eastAsia="Arial" w:hAnsi="Arial"/>
          <w:sz w:val="22"/>
          <w:szCs w:val="22"/>
        </w:rPr>
        <w:t xml:space="preserve">SHA-256 content fingerprinting enables detection of unauthorized copies</w:t>
      </w:r>
    </w:p>
    <w:p>
      <w:pPr>
        <w:pStyle w:val="ListParagraph"/>
        <w:numPr>
          <w:ilvl w:val="0"/>
          <w:numId w:val="2"/>
        </w:numPr>
        <w:spacing w:after="80"/>
      </w:pPr>
      <w:r>
        <w:rPr>
          <w:rFonts w:ascii="Arial" w:cs="Arial" w:eastAsia="Arial" w:hAnsi="Arial"/>
          <w:sz w:val="22"/>
          <w:szCs w:val="22"/>
        </w:rPr>
        <w:t xml:space="preserve">API rate limiting and abuse detection prevent bulk content extraction</w:t>
      </w:r>
    </w:p>
    <w:p>
      <w:pPr>
        <w:pStyle w:val="ListParagraph"/>
        <w:numPr>
          <w:ilvl w:val="0"/>
          <w:numId w:val="2"/>
        </w:numPr>
        <w:spacing w:after="80"/>
      </w:pPr>
      <w:r>
        <w:rPr>
          <w:rFonts w:ascii="Arial" w:cs="Arial" w:eastAsia="Arial" w:hAnsi="Arial"/>
          <w:sz w:val="22"/>
          <w:szCs w:val="22"/>
        </w:rPr>
        <w:t xml:space="preserve">Private GitHub repository with branch protection and audit logging</w:t>
      </w:r>
    </w:p>
    <w:p>
      <w:pPr>
        <w:pStyle w:val="ListParagraph"/>
        <w:numPr>
          <w:ilvl w:val="0"/>
          <w:numId w:val="2"/>
        </w:numPr>
        <w:spacing w:after="80"/>
      </w:pPr>
      <w:r>
        <w:rPr>
          <w:rFonts w:ascii="Arial" w:cs="Arial" w:eastAsia="Arial" w:hAnsi="Arial"/>
          <w:sz w:val="22"/>
          <w:szCs w:val="22"/>
        </w:rPr>
        <w:t xml:space="preserve">Content served via API only (never included in client-side bundle)</w:t>
      </w:r>
    </w:p>
    <w:p>
      <w:pPr>
        <w:spacing w:after="200"/>
      </w:pPr>
    </w:p>
    <w:p>
      <w:pPr>
        <w:pStyle w:val="Heading3"/>
      </w:pPr>
      <w:r>
        <w:t xml:space="preserve">Administrative Measures (Implement Now)</w:t>
      </w:r>
    </w:p>
    <w:p>
      <w:pPr>
        <w:pStyle w:val="ListParagraph"/>
        <w:numPr>
          <w:ilvl w:val="0"/>
          <w:numId w:val="2"/>
        </w:numPr>
        <w:spacing w:after="80"/>
      </w:pPr>
      <w:r>
        <w:rPr>
          <w:rFonts w:ascii="Arial" w:cs="Arial" w:eastAsia="Arial" w:hAnsi="Arial"/>
          <w:sz w:val="22"/>
          <w:szCs w:val="22"/>
        </w:rPr>
        <w:t xml:space="preserve">Mark all internal documents as 'CONFIDENTIAL - TOP PERFORMER TRADE SECRET'</w:t>
      </w:r>
    </w:p>
    <w:p>
      <w:pPr>
        <w:pStyle w:val="ListParagraph"/>
        <w:numPr>
          <w:ilvl w:val="0"/>
          <w:numId w:val="2"/>
        </w:numPr>
        <w:spacing w:after="80"/>
      </w:pPr>
      <w:r>
        <w:rPr>
          <w:rFonts w:ascii="Arial" w:cs="Arial" w:eastAsia="Arial" w:hAnsi="Arial"/>
          <w:sz w:val="22"/>
          <w:szCs w:val="22"/>
        </w:rPr>
        <w:t xml:space="preserve">Require NDAs before sharing any proprietary information with contractors, partners, or investors</w:t>
      </w:r>
    </w:p>
    <w:p>
      <w:pPr>
        <w:pStyle w:val="ListParagraph"/>
        <w:numPr>
          <w:ilvl w:val="0"/>
          <w:numId w:val="2"/>
        </w:numPr>
        <w:spacing w:after="80"/>
      </w:pPr>
      <w:r>
        <w:rPr>
          <w:rFonts w:ascii="Arial" w:cs="Arial" w:eastAsia="Arial" w:hAnsi="Arial"/>
          <w:sz w:val="22"/>
          <w:szCs w:val="22"/>
        </w:rPr>
        <w:t xml:space="preserve">Maintain an access log documenting who has access to what trade secrets and when</w:t>
      </w:r>
    </w:p>
    <w:p>
      <w:pPr>
        <w:pStyle w:val="ListParagraph"/>
        <w:numPr>
          <w:ilvl w:val="0"/>
          <w:numId w:val="2"/>
        </w:numPr>
        <w:spacing w:after="80"/>
      </w:pPr>
      <w:r>
        <w:rPr>
          <w:rFonts w:ascii="Arial" w:cs="Arial" w:eastAsia="Arial" w:hAnsi="Arial"/>
          <w:sz w:val="22"/>
          <w:szCs w:val="22"/>
        </w:rPr>
        <w:t xml:space="preserve">Implement need-to-know access controls (not everyone needs access to everything)</w:t>
      </w:r>
    </w:p>
    <w:p>
      <w:pPr>
        <w:pStyle w:val="ListParagraph"/>
        <w:numPr>
          <w:ilvl w:val="0"/>
          <w:numId w:val="2"/>
        </w:numPr>
        <w:spacing w:after="80"/>
      </w:pPr>
      <w:r>
        <w:rPr>
          <w:rFonts w:ascii="Arial" w:cs="Arial" w:eastAsia="Arial" w:hAnsi="Arial"/>
          <w:sz w:val="22"/>
          <w:szCs w:val="22"/>
        </w:rPr>
        <w:t xml:space="preserve">Conduct exit interviews with departing contractors reminding them of confidentiality obligations</w:t>
      </w:r>
    </w:p>
    <w:p>
      <w:pPr>
        <w:pStyle w:val="ListParagraph"/>
        <w:numPr>
          <w:ilvl w:val="0"/>
          <w:numId w:val="2"/>
        </w:numPr>
        <w:spacing w:after="80"/>
      </w:pPr>
      <w:r>
        <w:rPr>
          <w:rFonts w:ascii="Arial" w:cs="Arial" w:eastAsia="Arial" w:hAnsi="Arial"/>
          <w:sz w:val="22"/>
          <w:szCs w:val="22"/>
        </w:rPr>
        <w:t xml:space="preserve">Keep a dated log of when each trade secret was created and who created it</w:t>
      </w:r>
    </w:p>
    <w:p>
      <w:pPr>
        <w:spacing w:after="200"/>
      </w:pPr>
    </w:p>
    <w:p>
      <w:pPr>
        <w:pStyle w:val="Heading2"/>
      </w:pPr>
      <w:r>
        <w:t xml:space="preserve">3.3 NDA Framework</w:t>
      </w:r>
    </w:p>
    <w:p>
      <w:pPr>
        <w:spacing w:after="120"/>
      </w:pPr>
      <w:r>
        <w:rPr>
          <w:rFonts w:ascii="Arial" w:cs="Arial" w:eastAsia="Arial" w:hAnsi="Arial"/>
          <w:sz w:val="22"/>
          <w:szCs w:val="22"/>
        </w:rPr>
        <w:t xml:space="preserve">Every person who accesses proprietary Top Performer information should sign an NDA. The following key terms should be included: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NDA Clause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Terms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Definition of Confidential Info</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trade secrets, algorithms, content, personas, mental models, user data, business strategies, pricing, and any information marked or reasonably understood to be confidential.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shall: (a) maintain strict confidentiality, (b) use information only for authorized purposes, (c) not reverse-engineer or decompile any software, (d) not use for AI/ML training.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Duration</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Obligations survive for 3 years after disclosure, or indefinitely for trade secrets that maintain their secret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Return/Destruction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Upon termination or request, all confidential materials must be returned or certified destroyed within 10 business days.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Remedies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Breach entitles discloser to injunctive relief without bond, plus actual damages including lost profits and attorney fees.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Non-Solicitation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shall not solicit or hire any employees or contractors of discloser for 12 months after termination.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IP Assignment</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Any work product created using confidential information is automatically assigned to the discloser.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AI-Specific NDA Clause (Critical)</w:t>
            </w:r>
          </w:p>
          <w:p>
            <w:r>
              <w:rPr>
                <w:rFonts w:ascii="Arial" w:cs="Arial" w:eastAsia="Arial" w:hAnsi="Arial"/>
                <w:sz w:val="20"/>
                <w:szCs w:val="20"/>
              </w:rPr>
              <w:t xml:space="preserve">Include this clause in all NDAs: 'Recipient shall not use any Confidential Information to train, fine-tune, or otherwise develop any artificial intelligence, machine learning, or large language model system, whether for commercial or research purposes. This prohibition survives termination of this Agreement indefinitely.'</w:t>
            </w:r>
          </w:p>
        </w:tc>
      </w:tr>
    </w:tbl>
    <w:p>
      <w:pPr>
        <w:spacing w:after="200"/>
      </w:pPr>
    </w:p>
    <w:p>
      <w:r>
        <w:br w:type="page"/>
      </w:r>
    </w:p>
    <w:p>
      <w:pPr>
        <w:pStyle w:val="Heading1"/>
      </w:pPr>
      <w:r>
        <w:t xml:space="preserve">4. Active Monitoring &amp; Enforcement</w:t>
      </w:r>
    </w:p>
    <w:p>
      <w:pPr>
        <w:spacing w:after="120"/>
      </w:pPr>
      <w:r>
        <w:rPr>
          <w:rFonts w:ascii="Arial" w:cs="Arial" w:eastAsia="Arial" w:hAnsi="Arial"/>
          <w:sz w:val="22"/>
          <w:szCs w:val="22"/>
        </w:rPr>
        <w:t xml:space="preserve">Defensive measures prevent theft. Offensive measures detect and stop it. This section establishes the monitoring infrastructure and enforcement procedures to actively protect your IP portfolio.</w:t>
      </w:r>
    </w:p>
    <w:p>
      <w:pPr>
        <w:spacing w:after="200"/>
      </w:pPr>
    </w:p>
    <w:p>
      <w:pPr>
        <w:pStyle w:val="Heading2"/>
      </w:pPr>
      <w:r>
        <w:t xml:space="preserve">4.1 Monitoring Infrastructure</w:t>
      </w:r>
    </w:p>
    <w:p>
      <w:pPr>
        <w:spacing w:after="120"/>
      </w:pPr>
      <w:r>
        <w:rPr>
          <w:rFonts w:ascii="Arial" w:cs="Arial" w:eastAsia="Arial" w:hAnsi="Arial"/>
          <w:sz w:val="22"/>
          <w:szCs w:val="22"/>
        </w:rPr>
        <w:t xml:space="preserve">Set up the following monitoring systems to detect unauthorized use of your content: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200"/>
        <w:gridCol w:w="1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Action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Monitor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Alerts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Brand name + key phrases in quotes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Daily email digest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 up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competitor apps for copied 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manual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GitHub Code Search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 for fingerprint hashes or unique phrases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Bi-weekly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Bi-weekly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Copyscape / Grammarly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session scripts against web 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batch scan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Social Media Monitoring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Track brand mentions, unauthorized sharing</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Daily (automated)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Free-$50/mo</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 up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DMCA Takedown 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all notices sent, responses, outcomes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needed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Training Opt-Out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Submit to OpenAI, Google, Anthropic, Meta</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One-time + annual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This week</w:t>
            </w:r>
          </w:p>
        </w:tc>
      </w:tr>
    </w:tbl>
    <w:p>
      <w:pPr>
        <w:spacing w:after="200"/>
      </w:pPr>
    </w:p>
    <w:p>
      <w:pPr>
        <w:pStyle w:val="Heading2"/>
      </w:pPr>
      <w:r>
        <w:t xml:space="preserve">4.2 AI Training Opt-Out Requests</w:t>
      </w:r>
    </w:p>
    <w:p>
      <w:pPr>
        <w:spacing w:after="120"/>
      </w:pPr>
      <w:r>
        <w:rPr>
          <w:rFonts w:ascii="Arial" w:cs="Arial" w:eastAsia="Arial" w:hAnsi="Arial"/>
          <w:sz w:val="22"/>
          <w:szCs w:val="22"/>
        </w:rPr>
        <w:t xml:space="preserve">Submit formal opt-out requests to prevent your content from being used to train AI models. This is a rapidly evolving area of law, and proactive opt-out strengthens your legal position.</w:t>
      </w:r>
    </w:p>
    <w:p>
      <w:pPr>
        <w:spacing w:after="200"/>
      </w:pPr>
    </w:p>
    <w:p>
      <w:pPr>
        <w:pStyle w:val="ListParagraph"/>
        <w:numPr>
          <w:ilvl w:val="0"/>
          <w:numId w:val="2"/>
        </w:numPr>
        <w:spacing w:after="80"/>
      </w:pPr>
      <w:r>
        <w:rPr>
          <w:rFonts w:ascii="Arial" w:cs="Arial" w:eastAsia="Arial" w:hAnsi="Arial"/>
          <w:sz w:val="22"/>
          <w:szCs w:val="22"/>
        </w:rPr>
        <w:t xml:space="preserve">OpenAI: Submit via https://openai.com/policies/terms-of-use (opt-out of training data)</w:t>
      </w:r>
    </w:p>
    <w:p>
      <w:pPr>
        <w:pStyle w:val="ListParagraph"/>
        <w:numPr>
          <w:ilvl w:val="0"/>
          <w:numId w:val="2"/>
        </w:numPr>
        <w:spacing w:after="80"/>
      </w:pPr>
      <w:r>
        <w:rPr>
          <w:rFonts w:ascii="Arial" w:cs="Arial" w:eastAsia="Arial" w:hAnsi="Arial"/>
          <w:sz w:val="22"/>
          <w:szCs w:val="22"/>
        </w:rPr>
        <w:t xml:space="preserve">Google: Use Google-Extended in robots.txt to block Bard/Gemini training crawlers</w:t>
      </w:r>
    </w:p>
    <w:p>
      <w:pPr>
        <w:pStyle w:val="ListParagraph"/>
        <w:numPr>
          <w:ilvl w:val="0"/>
          <w:numId w:val="2"/>
        </w:numPr>
        <w:spacing w:after="80"/>
      </w:pPr>
      <w:r>
        <w:rPr>
          <w:rFonts w:ascii="Arial" w:cs="Arial" w:eastAsia="Arial" w:hAnsi="Arial"/>
          <w:sz w:val="22"/>
          <w:szCs w:val="22"/>
        </w:rPr>
        <w:t xml:space="preserve">Anthropic: Add ai-training-opt-out meta tag and CCBot block in robots.txt</w:t>
      </w:r>
    </w:p>
    <w:p>
      <w:pPr>
        <w:pStyle w:val="ListParagraph"/>
        <w:numPr>
          <w:ilvl w:val="0"/>
          <w:numId w:val="2"/>
        </w:numPr>
        <w:spacing w:after="80"/>
      </w:pPr>
      <w:r>
        <w:rPr>
          <w:rFonts w:ascii="Arial" w:cs="Arial" w:eastAsia="Arial" w:hAnsi="Arial"/>
          <w:sz w:val="22"/>
          <w:szCs w:val="22"/>
        </w:rPr>
        <w:t xml:space="preserve">Meta: Submit opt-out via Meta privacy center for AI training data</w:t>
      </w:r>
    </w:p>
    <w:p>
      <w:pPr>
        <w:pStyle w:val="ListParagraph"/>
        <w:numPr>
          <w:ilvl w:val="0"/>
          <w:numId w:val="2"/>
        </w:numPr>
        <w:spacing w:after="80"/>
      </w:pPr>
      <w:r>
        <w:rPr>
          <w:rFonts w:ascii="Arial" w:cs="Arial" w:eastAsia="Arial" w:hAnsi="Arial"/>
          <w:sz w:val="22"/>
          <w:szCs w:val="22"/>
        </w:rPr>
        <w:t xml:space="preserve">Common Crawl: Add to robots.txt: User-agent: CCBot / Disallow: /</w:t>
      </w:r>
    </w:p>
    <w:p>
      <w:pPr>
        <w:spacing w:after="200"/>
      </w:pPr>
    </w:p>
    <w:p>
      <w:pPr>
        <w:pStyle w:val="Heading2"/>
      </w:pPr>
      <w:r>
        <w:t xml:space="preserve">4.3 robots.txt Configuration</w:t>
      </w:r>
    </w:p>
    <w:p>
      <w:pPr>
        <w:spacing w:after="120"/>
      </w:pPr>
      <w:r>
        <w:rPr>
          <w:rFonts w:ascii="Arial" w:cs="Arial" w:eastAsia="Arial" w:hAnsi="Arial"/>
          <w:sz w:val="22"/>
          <w:szCs w:val="22"/>
        </w:rPr>
        <w:t xml:space="preserve">Add the following to topperformer.pages.dev/robots.txt to block AI training crawlers:</w:t>
      </w:r>
    </w:p>
    <w:p>
      <w:pPr>
        <w:spacing w:after="200"/>
      </w:pPr>
    </w:p>
    <w:p>
      <w:pPr>
        <w:spacing w:after="40"/>
      </w:pPr>
      <w:r>
        <w:rPr>
          <w:rFonts w:ascii="Courier New" w:cs="Courier New" w:eastAsia="Courier New" w:hAnsi="Courier New"/>
          <w:sz w:val="20"/>
          <w:szCs w:val="20"/>
        </w:rPr>
        <w:t xml:space="preserve">User-agent: GPTBot</w:t>
      </w:r>
    </w:p>
    <w:p>
      <w:pPr>
        <w:spacing w:after="40"/>
      </w:pPr>
      <w:r>
        <w:rPr>
          <w:rFonts w:ascii="Courier New" w:cs="Courier New" w:eastAsia="Courier New" w:hAnsi="Courier New"/>
          <w:sz w:val="20"/>
          <w:szCs w:val="20"/>
        </w:rPr>
        <w:t xml:space="preserve">Disallow: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User-agent: ChatGPT-User</w:t>
      </w:r>
    </w:p>
    <w:p>
      <w:pPr>
        <w:spacing w:after="40"/>
      </w:pPr>
      <w:r>
        <w:rPr>
          <w:rFonts w:ascii="Courier New" w:cs="Courier New" w:eastAsia="Courier New" w:hAnsi="Courier New"/>
          <w:sz w:val="20"/>
          <w:szCs w:val="20"/>
        </w:rPr>
        <w:t xml:space="preserve">Disallow: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User-agent: Google-Extended</w:t>
      </w:r>
    </w:p>
    <w:p>
      <w:pPr>
        <w:spacing w:after="40"/>
      </w:pPr>
      <w:r>
        <w:rPr>
          <w:rFonts w:ascii="Courier New" w:cs="Courier New" w:eastAsia="Courier New" w:hAnsi="Courier New"/>
          <w:sz w:val="20"/>
          <w:szCs w:val="20"/>
        </w:rPr>
        <w:t xml:space="preserve">Disallow: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User-agent: CCBot</w:t>
      </w:r>
    </w:p>
    <w:p>
      <w:pPr>
        <w:spacing w:after="40"/>
      </w:pPr>
      <w:r>
        <w:rPr>
          <w:rFonts w:ascii="Courier New" w:cs="Courier New" w:eastAsia="Courier New" w:hAnsi="Courier New"/>
          <w:sz w:val="20"/>
          <w:szCs w:val="20"/>
        </w:rPr>
        <w:t xml:space="preserve">Disallow: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User-agent: anthropic-ai</w:t>
      </w:r>
    </w:p>
    <w:p>
      <w:pPr>
        <w:spacing w:after="40"/>
      </w:pPr>
      <w:r>
        <w:rPr>
          <w:rFonts w:ascii="Courier New" w:cs="Courier New" w:eastAsia="Courier New" w:hAnsi="Courier New"/>
          <w:sz w:val="20"/>
          <w:szCs w:val="20"/>
        </w:rPr>
        <w:t xml:space="preserve">Disallow: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User-agent: Bytespider</w:t>
      </w:r>
    </w:p>
    <w:p>
      <w:pPr>
        <w:spacing w:after="40"/>
      </w:pPr>
      <w:r>
        <w:rPr>
          <w:rFonts w:ascii="Courier New" w:cs="Courier New" w:eastAsia="Courier New" w:hAnsi="Courier New"/>
          <w:sz w:val="20"/>
          <w:szCs w:val="20"/>
        </w:rPr>
        <w:t xml:space="preserve">Disallow: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User-agent: cohere-ai</w:t>
      </w:r>
    </w:p>
    <w:p>
      <w:pPr>
        <w:spacing w:after="40"/>
      </w:pPr>
      <w:r>
        <w:rPr>
          <w:rFonts w:ascii="Courier New" w:cs="Courier New" w:eastAsia="Courier New" w:hAnsi="Courier New"/>
          <w:sz w:val="20"/>
          <w:szCs w:val="20"/>
        </w:rPr>
        <w:t xml:space="preserve">Disallow: /</w:t>
      </w:r>
    </w:p>
    <w:p>
      <w:pPr>
        <w:spacing w:after="200"/>
      </w:pPr>
    </w:p>
    <w:p>
      <w:pPr>
        <w:pStyle w:val="Heading2"/>
      </w:pPr>
      <w:r>
        <w:t xml:space="preserve">4.4 Enforcement Escalation Ladder</w:t>
      </w:r>
    </w:p>
    <w:p>
      <w:pPr>
        <w:spacing w:after="120"/>
      </w:pPr>
      <w:r>
        <w:rPr>
          <w:rFonts w:ascii="Arial" w:cs="Arial" w:eastAsia="Arial" w:hAnsi="Arial"/>
          <w:sz w:val="22"/>
          <w:szCs w:val="22"/>
        </w:rPr>
        <w:t xml:space="preserve">When infringement is detected, follow this escalation sequence:</w:t>
      </w:r>
    </w:p>
    <w:p>
      <w:pPr>
        <w:spacing w:after="200"/>
      </w:pPr>
    </w:p>
    <w:p>
      <w:pPr>
        <w:spacing w:after="120"/>
      </w:pPr>
      <w:r>
        <w:rPr>
          <w:rFonts w:ascii="Arial" w:cs="Arial" w:eastAsia="Arial" w:hAnsi="Arial"/>
          <w:b/>
          <w:bCs/>
          <w:sz w:val="22"/>
          <w:szCs w:val="22"/>
        </w:rPr>
        <w:t xml:space="preserve">Level 1 - Automated Detection: </w:t>
      </w:r>
      <w:r>
        <w:rPr>
          <w:rFonts w:ascii="Arial" w:cs="Arial" w:eastAsia="Arial" w:hAnsi="Arial"/>
          <w:sz w:val="22"/>
          <w:szCs w:val="22"/>
        </w:rPr>
        <w:t xml:space="preserve">Content fingerprint match detected via monitoring tools. Document the infringement with timestamped screenshots and URLs. Archive the infringing page using archive.org or similar.</w:t>
      </w:r>
    </w:p>
    <w:p>
      <w:pPr>
        <w:spacing w:after="120"/>
      </w:pPr>
      <w:r>
        <w:rPr>
          <w:rFonts w:ascii="Arial" w:cs="Arial" w:eastAsia="Arial" w:hAnsi="Arial"/>
          <w:b/>
          <w:bCs/>
          <w:sz w:val="22"/>
          <w:szCs w:val="22"/>
        </w:rPr>
        <w:t xml:space="preserve">Level 2 - Informal Cease &amp; Desist: </w:t>
      </w:r>
      <w:r>
        <w:rPr>
          <w:rFonts w:ascii="Arial" w:cs="Arial" w:eastAsia="Arial" w:hAnsi="Arial"/>
          <w:sz w:val="22"/>
          <w:szCs w:val="22"/>
        </w:rPr>
        <w:t xml:space="preserve">Send a polite but firm email to the infringer requesting removal within 72 hours. Reference your copyright registration numbers. Most infringers comply at this stage.</w:t>
      </w:r>
    </w:p>
    <w:p>
      <w:pPr>
        <w:spacing w:after="120"/>
      </w:pPr>
      <w:r>
        <w:rPr>
          <w:rFonts w:ascii="Arial" w:cs="Arial" w:eastAsia="Arial" w:hAnsi="Arial"/>
          <w:b/>
          <w:bCs/>
          <w:sz w:val="22"/>
          <w:szCs w:val="22"/>
        </w:rPr>
        <w:t xml:space="preserve">Level 3 - DMCA Takedown Notice: </w:t>
      </w:r>
      <w:r>
        <w:rPr>
          <w:rFonts w:ascii="Arial" w:cs="Arial" w:eastAsia="Arial" w:hAnsi="Arial"/>
          <w:sz w:val="22"/>
          <w:szCs w:val="22"/>
        </w:rPr>
        <w:t xml:space="preserve">File a formal DMCA takedown with the hosting provider and/or platform. Use the template provided in Appendix A. Platforms must respond within 10-14 business days.</w:t>
      </w:r>
    </w:p>
    <w:p>
      <w:pPr>
        <w:spacing w:after="120"/>
      </w:pPr>
      <w:r>
        <w:rPr>
          <w:rFonts w:ascii="Arial" w:cs="Arial" w:eastAsia="Arial" w:hAnsi="Arial"/>
          <w:b/>
          <w:bCs/>
          <w:sz w:val="22"/>
          <w:szCs w:val="22"/>
        </w:rPr>
        <w:t xml:space="preserve">Level 4 - Platform Escalation: </w:t>
      </w:r>
      <w:r>
        <w:rPr>
          <w:rFonts w:ascii="Arial" w:cs="Arial" w:eastAsia="Arial" w:hAnsi="Arial"/>
          <w:sz w:val="22"/>
          <w:szCs w:val="22"/>
        </w:rPr>
        <w:t xml:space="preserve">If the infringer files a counter-notice, escalate to the platform's legal team. For App Store copycats, file an Apple IP infringement report at https://www.apple.com/legal/internet-services/itunes/appstorenotices/</w:t>
      </w:r>
    </w:p>
    <w:p>
      <w:pPr>
        <w:spacing w:after="120"/>
      </w:pPr>
      <w:r>
        <w:rPr>
          <w:rFonts w:ascii="Arial" w:cs="Arial" w:eastAsia="Arial" w:hAnsi="Arial"/>
          <w:b/>
          <w:bCs/>
          <w:sz w:val="22"/>
          <w:szCs w:val="22"/>
        </w:rPr>
        <w:t xml:space="preserve">Level 5 - Legal Action: </w:t>
      </w:r>
      <w:r>
        <w:rPr>
          <w:rFonts w:ascii="Arial" w:cs="Arial" w:eastAsia="Arial" w:hAnsi="Arial"/>
          <w:sz w:val="22"/>
          <w:szCs w:val="22"/>
        </w:rPr>
        <w:t xml:space="preserve">Engage an IP attorney for federal court filing. With registered copyrights, you can seek statutory damages ($150K per willful infringement) plus attorney fees. This step is financially viable because registration shifts cost to the infringer.</w:t>
      </w:r>
    </w:p>
    <w:p>
      <w:pPr>
        <w:spacing w:after="200"/>
      </w:pPr>
    </w:p>
    <w:p>
      <w:r>
        <w:br w:type="page"/>
      </w:r>
    </w:p>
    <w:p>
      <w:pPr>
        <w:pStyle w:val="Heading1"/>
      </w:pPr>
      <w:r>
        <w:t xml:space="preserve">5. 90-Day Action Plan</w:t>
      </w:r>
    </w:p>
    <w:p>
      <w:pPr>
        <w:spacing w:after="120"/>
      </w:pPr>
      <w:r>
        <w:rPr>
          <w:rFonts w:ascii="Arial" w:cs="Arial" w:eastAsia="Arial" w:hAnsi="Arial"/>
          <w:sz w:val="22"/>
          <w:szCs w:val="22"/>
        </w:rPr>
        <w:t xml:space="preserve">The following is a prioritized, time-bound plan to implement the full IP protection framework. Items are ordered by urgency and dependencies.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000"/>
        <w:gridCol w:w="1200"/>
        <w:gridCol w:w="14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c>
          <w:tcPr>
            <w:tcW w:type="dxa" w:w="1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1</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File USPTO trademark application for 'Top Performer Coach'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 / Founder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$250-350</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Google Alerts for brand name + key content phrases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1</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Submit AI training opt-out requests to major AI companies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all trade secrets using template in this guide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2</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File copyright registration for session content collection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 / Founder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$65-85</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robots.txt AI crawler blocks to topperformer.pages.dev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2</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NDA template for any future contractors/partners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$0-200</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copyright for coach persona collection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$65-85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3-4</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 up Copyscape monitoring for content scraping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$10/mo</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server-side content watermarking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 3-4</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 and strengthen Terms of Service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$0-500</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copyright for mental model framework compilation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$65-85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 up automated App Store competitor monitoring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IP section in employee/contractor handbook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2</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rate limiting + anomaly detection on API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Conduct first quarterly IP audit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3</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 all monitoring alerts and refine search terms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 IP attorney for portfolio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$500-1500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3</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Evaluate provisional patent for coaching methodology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$1500-5000</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Optional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Budget Summary</w:t>
            </w:r>
          </w:p>
          <w:p>
            <w:r>
              <w:rPr>
                <w:rFonts w:ascii="Arial" w:cs="Arial" w:eastAsia="Arial" w:hAnsi="Arial"/>
                <w:sz w:val="20"/>
                <w:szCs w:val="20"/>
              </w:rPr>
              <w:t xml:space="preserve">Week 1-2: $315-435 (trademark + first copyright filing + free monitoring setup). Month 2-3: $130-170 (additional copyright filings). Optional: $500-1,500 (attorney consult). Total 90-day budget: $445-2,105 depending on whether you engage an attorney for portfolio review.</w:t>
            </w:r>
          </w:p>
        </w:tc>
      </w:tr>
    </w:tbl>
    <w:p>
      <w:pPr>
        <w:spacing w:after="200"/>
      </w:pPr>
    </w:p>
    <w:p>
      <w:r>
        <w:br w:type="page"/>
      </w:r>
    </w:p>
    <w:p>
      <w:pPr>
        <w:pStyle w:val="Heading1"/>
      </w:pPr>
      <w:r>
        <w:t xml:space="preserve">Appendix A: DMCA Takedown Notice Template</w:t>
      </w:r>
    </w:p>
    <w:p>
      <w:pPr>
        <w:spacing w:after="120"/>
      </w:pPr>
      <w:r>
        <w:rPr>
          <w:rFonts w:ascii="Arial" w:cs="Arial" w:eastAsia="Arial" w:hAnsi="Arial"/>
          <w:sz w:val="22"/>
          <w:szCs w:val="22"/>
        </w:rPr>
        <w:t xml:space="preserve">Use this template when filing DMCA takedown notices. Fill in the bracketed fields with specific details for each infringement case.</w:t>
      </w:r>
    </w:p>
    <w:p>
      <w:pPr>
        <w:spacing w:after="200"/>
      </w:pPr>
    </w:p>
    <w:p>
      <w:pPr>
        <w:spacing w:after="40"/>
      </w:pPr>
      <w:r>
        <w:rPr>
          <w:rFonts w:ascii="Courier New" w:cs="Courier New" w:eastAsia="Courier New" w:hAnsi="Courier New"/>
          <w:sz w:val="20"/>
          <w:szCs w:val="20"/>
        </w:rPr>
        <w:t xml:space="preserve">[Date]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To: [Service Provider / Website Operator]</w:t>
      </w:r>
    </w:p>
    <w:p>
      <w:pPr>
        <w:spacing w:after="40"/>
      </w:pPr>
      <w:r>
        <w:rPr>
          <w:rFonts w:ascii="Courier New" w:cs="Courier New" w:eastAsia="Courier New" w:hAnsi="Courier New"/>
          <w:sz w:val="20"/>
          <w:szCs w:val="20"/>
        </w:rPr>
        <w:t xml:space="preserve">Re: DMCA Takedown Notice - Unauthorized Use of Copyrighted Material</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Dear Sir/Madam,</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I am writing to notify you of copyright infringement occurring on your platform pursuant to the Digital Millennium Copyright Act (17 U.S.C. Section 512).</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IDENTIFICATION OF COPYRIGHTED WORK:</w:t>
      </w:r>
    </w:p>
    <w:p>
      <w:pPr>
        <w:spacing w:after="40"/>
      </w:pPr>
      <w:r>
        <w:rPr>
          <w:rFonts w:ascii="Courier New" w:cs="Courier New" w:eastAsia="Courier New" w:hAnsi="Courier New"/>
          <w:sz w:val="20"/>
          <w:szCs w:val="20"/>
        </w:rPr>
        <w:t xml:space="preserve">The copyrighted works at issue are proprietary mental performance training content owned by Top Performer, including but not limited to: coach persona scripts, mental model frameworks, and daily training session content, as published in the Top Performer Coach mobile application (App Store ID: 6759122798).</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IDENTIFICATION OF INFRINGING MATERIAL:</w:t>
      </w:r>
    </w:p>
    <w:p>
      <w:pPr>
        <w:spacing w:after="40"/>
      </w:pPr>
      <w:r>
        <w:rPr>
          <w:rFonts w:ascii="Courier New" w:cs="Courier New" w:eastAsia="Courier New" w:hAnsi="Courier New"/>
          <w:sz w:val="20"/>
          <w:szCs w:val="20"/>
        </w:rPr>
        <w:t xml:space="preserve">The infringing material is located at: [URL(s) of infringing content]</w:t>
      </w:r>
    </w:p>
    <w:p>
      <w:pPr>
        <w:spacing w:after="40"/>
      </w:pPr>
      <w:r>
        <w:rPr>
          <w:rFonts w:ascii="Courier New" w:cs="Courier New" w:eastAsia="Courier New" w:hAnsi="Courier New"/>
          <w:sz w:val="20"/>
          <w:szCs w:val="20"/>
        </w:rPr>
        <w:t xml:space="preserve">Description: [Describe what was copied]</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GOOD FAITH STATEMENT:</w:t>
      </w:r>
    </w:p>
    <w:p>
      <w:pPr>
        <w:spacing w:after="40"/>
      </w:pPr>
      <w:r>
        <w:rPr>
          <w:rFonts w:ascii="Courier New" w:cs="Courier New" w:eastAsia="Courier New" w:hAnsi="Courier New"/>
          <w:sz w:val="20"/>
          <w:szCs w:val="20"/>
        </w:rPr>
        <w:t xml:space="preserve">I have a good faith belief that use of the copyrighted materials described above is not authorized by the copyright owner, its agent, or the law.</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ACCURACY STATEMENT:</w:t>
      </w:r>
    </w:p>
    <w:p>
      <w:pPr>
        <w:spacing w:after="40"/>
      </w:pPr>
      <w:r>
        <w:rPr>
          <w:rFonts w:ascii="Courier New" w:cs="Courier New" w:eastAsia="Courier New" w:hAnsi="Courier New"/>
          <w:sz w:val="20"/>
          <w:szCs w:val="20"/>
        </w:rPr>
        <w:t xml:space="preserve">I swear, under penalty of perjury, that the information in this notification is accurate and that I am the copyright owner or authorized to act on behalf of the owner.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CONTACT INFORMATION:</w:t>
      </w:r>
    </w:p>
    <w:p>
      <w:pPr>
        <w:spacing w:after="40"/>
      </w:pPr>
      <w:r>
        <w:rPr>
          <w:rFonts w:ascii="Courier New" w:cs="Courier New" w:eastAsia="Courier New" w:hAnsi="Courier New"/>
          <w:sz w:val="20"/>
          <w:szCs w:val="20"/>
        </w:rPr>
        <w:t xml:space="preserve">Name: Mike Perkins</w:t>
      </w:r>
    </w:p>
    <w:p>
      <w:pPr>
        <w:spacing w:after="40"/>
      </w:pPr>
      <w:r>
        <w:rPr>
          <w:rFonts w:ascii="Courier New" w:cs="Courier New" w:eastAsia="Courier New" w:hAnsi="Courier New"/>
          <w:sz w:val="20"/>
          <w:szCs w:val="20"/>
        </w:rPr>
        <w:t xml:space="preserve">Title: Founder, Top Performer</w:t>
      </w:r>
    </w:p>
    <w:p>
      <w:pPr>
        <w:spacing w:after="40"/>
      </w:pPr>
      <w:r>
        <w:rPr>
          <w:rFonts w:ascii="Courier New" w:cs="Courier New" w:eastAsia="Courier New" w:hAnsi="Courier New"/>
          <w:sz w:val="20"/>
          <w:szCs w:val="20"/>
        </w:rPr>
        <w:t xml:space="preserve">Email: dmca@topperformer.co</w:t>
      </w:r>
    </w:p>
    <w:p>
      <w:pPr>
        <w:spacing w:after="40"/>
      </w:pPr>
      <w:r>
        <w:rPr>
          <w:rFonts w:ascii="Courier New" w:cs="Courier New" w:eastAsia="Courier New" w:hAnsi="Courier New"/>
          <w:sz w:val="20"/>
          <w:szCs w:val="20"/>
        </w:rPr>
        <w:t xml:space="preserve">Phone: [Phone Number]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Signature: ________________________</w:t>
      </w:r>
    </w:p>
    <w:p>
      <w:pPr>
        <w:spacing w:after="40"/>
      </w:pPr>
      <w:r>
        <w:rPr>
          <w:rFonts w:ascii="Courier New" w:cs="Courier New" w:eastAsia="Courier New" w:hAnsi="Courier New"/>
          <w:sz w:val="20"/>
          <w:szCs w:val="20"/>
        </w:rPr>
        <w:t xml:space="preserve">Date: ________________________</w:t>
      </w:r>
    </w:p>
    <w:p>
      <w:pPr>
        <w:spacing w:after="200"/>
      </w:pPr>
    </w:p>
    <w:p>
      <w:r>
        <w:br w:type="page"/>
      </w:r>
    </w:p>
    <w:p>
      <w:pPr>
        <w:pStyle w:val="Heading1"/>
      </w:pPr>
      <w:r>
        <w:t xml:space="preserve">Appendix B: Google Alerts Setup Guide</w:t>
      </w:r>
    </w:p>
    <w:p>
      <w:pPr>
        <w:spacing w:after="120"/>
      </w:pPr>
      <w:r>
        <w:rPr>
          <w:rFonts w:ascii="Arial" w:cs="Arial" w:eastAsia="Arial" w:hAnsi="Arial"/>
          <w:sz w:val="22"/>
          <w:szCs w:val="22"/>
        </w:rPr>
        <w:t xml:space="preserve">Set up the following alerts at google.com/alerts (use exact quotes for phrase matching):</w:t>
      </w:r>
    </w:p>
    <w:p>
      <w:pPr>
        <w:spacing w:after="200"/>
      </w:pPr>
    </w:p>
    <w:p>
      <w:pPr>
        <w:pStyle w:val="ListParagraph"/>
        <w:numPr>
          <w:ilvl w:val="0"/>
          <w:numId w:val="3"/>
        </w:numPr>
        <w:spacing w:after="80"/>
      </w:pPr>
      <w:r>
        <w:rPr>
          <w:rFonts w:ascii="Arial" w:cs="Arial" w:eastAsia="Arial" w:hAnsi="Arial"/>
          <w:sz w:val="22"/>
          <w:szCs w:val="22"/>
        </w:rPr>
        <w:t xml:space="preserve">"Top Performer Coach" - catches any mention of your brand name</w:t>
      </w:r>
    </w:p>
    <w:p>
      <w:pPr>
        <w:pStyle w:val="ListParagraph"/>
        <w:numPr>
          <w:ilvl w:val="0"/>
          <w:numId w:val="3"/>
        </w:numPr>
        <w:spacing w:after="80"/>
      </w:pPr>
      <w:r>
        <w:rPr>
          <w:rFonts w:ascii="Arial" w:cs="Arial" w:eastAsia="Arial" w:hAnsi="Arial"/>
          <w:sz w:val="22"/>
          <w:szCs w:val="22"/>
        </w:rPr>
        <w:t xml:space="preserve">"Mental Models for Peak Growth" - catches subtitle/tagline use</w:t>
      </w:r>
    </w:p>
    <w:p>
      <w:pPr>
        <w:pStyle w:val="ListParagraph"/>
        <w:numPr>
          <w:ilvl w:val="0"/>
          <w:numId w:val="3"/>
        </w:numPr>
        <w:spacing w:after="80"/>
      </w:pPr>
      <w:r>
        <w:rPr>
          <w:rFonts w:ascii="Arial" w:cs="Arial" w:eastAsia="Arial" w:hAnsi="Arial"/>
          <w:sz w:val="22"/>
          <w:szCs w:val="22"/>
        </w:rPr>
        <w:t xml:space="preserve">"topperformer.app" OR "topperformer.co" - catches domain mentions</w:t>
      </w:r>
    </w:p>
    <w:p>
      <w:pPr>
        <w:pStyle w:val="ListParagraph"/>
        <w:numPr>
          <w:ilvl w:val="0"/>
          <w:numId w:val="3"/>
        </w:numPr>
        <w:spacing w:after="80"/>
      </w:pPr>
      <w:r>
        <w:rPr>
          <w:rFonts w:ascii="Arial" w:cs="Arial" w:eastAsia="Arial" w:hAnsi="Arial"/>
          <w:sz w:val="22"/>
          <w:szCs w:val="22"/>
        </w:rPr>
        <w:t xml:space="preserve">Pick 3-5 unique phrases from your most distinctive session scripts (sentences unlikely to appear elsewhere)</w:t>
      </w:r>
    </w:p>
    <w:p>
      <w:pPr>
        <w:spacing w:after="200"/>
      </w:pPr>
    </w:p>
    <w:p>
      <w:pPr>
        <w:spacing w:after="120"/>
      </w:pPr>
      <w:r>
        <w:rPr>
          <w:rFonts w:ascii="Arial" w:cs="Arial" w:eastAsia="Arial" w:hAnsi="Arial"/>
          <w:sz w:val="22"/>
          <w:szCs w:val="22"/>
        </w:rPr>
        <w:t xml:space="preserve">Settings for each alert: Frequency = As-it-happens, Sources = Automatic, Language = English, Region = All regions, How many = All results.</w:t>
      </w:r>
    </w:p>
    <w:p>
      <w:pPr>
        <w:spacing w:after="200"/>
      </w:pPr>
    </w:p>
    <w:p>
      <w:pPr>
        <w:pStyle w:val="Heading1"/>
      </w:pPr>
      <w:r>
        <w:t xml:space="preserve">Appendix C: Quarterly IP Audit Checklist</w:t>
      </w:r>
    </w:p>
    <w:p>
      <w:pPr>
        <w:spacing w:after="120"/>
      </w:pPr>
      <w:r>
        <w:rPr>
          <w:rFonts w:ascii="Arial" w:cs="Arial" w:eastAsia="Arial" w:hAnsi="Arial"/>
          <w:sz w:val="22"/>
          <w:szCs w:val="22"/>
        </w:rPr>
        <w:t xml:space="preserve">Conduct this audit every 90 days to maintain protection posture:</w:t>
      </w:r>
    </w:p>
    <w:p>
      <w:pPr>
        <w:spacing w:after="200"/>
      </w:pPr>
    </w:p>
    <w:p>
      <w:pPr>
        <w:pStyle w:val="ListParagraph"/>
        <w:numPr>
          <w:ilvl w:val="0"/>
          <w:numId w:val="2"/>
        </w:numPr>
        <w:spacing w:after="80"/>
      </w:pPr>
      <w:r>
        <w:rPr>
          <w:rFonts w:ascii="Arial" w:cs="Arial" w:eastAsia="Arial" w:hAnsi="Arial"/>
          <w:sz w:val="22"/>
          <w:szCs w:val="22"/>
        </w:rPr>
        <w:t xml:space="preserve">Review all Google Alerts from the quarter for potential infringement</w:t>
      </w:r>
    </w:p>
    <w:p>
      <w:pPr>
        <w:pStyle w:val="ListParagraph"/>
        <w:numPr>
          <w:ilvl w:val="0"/>
          <w:numId w:val="2"/>
        </w:numPr>
        <w:spacing w:after="80"/>
      </w:pPr>
      <w:r>
        <w:rPr>
          <w:rFonts w:ascii="Arial" w:cs="Arial" w:eastAsia="Arial" w:hAnsi="Arial"/>
          <w:sz w:val="22"/>
          <w:szCs w:val="22"/>
        </w:rPr>
        <w:t xml:space="preserve">Search App Store and Google Play for copycat apps</w:t>
      </w:r>
    </w:p>
    <w:p>
      <w:pPr>
        <w:pStyle w:val="ListParagraph"/>
        <w:numPr>
          <w:ilvl w:val="0"/>
          <w:numId w:val="2"/>
        </w:numPr>
        <w:spacing w:after="80"/>
      </w:pPr>
      <w:r>
        <w:rPr>
          <w:rFonts w:ascii="Arial" w:cs="Arial" w:eastAsia="Arial" w:hAnsi="Arial"/>
          <w:sz w:val="22"/>
          <w:szCs w:val="22"/>
        </w:rPr>
        <w:t xml:space="preserve">Run Copyscape scan on 10-20 key session scripts</w:t>
      </w:r>
    </w:p>
    <w:p>
      <w:pPr>
        <w:pStyle w:val="ListParagraph"/>
        <w:numPr>
          <w:ilvl w:val="0"/>
          <w:numId w:val="2"/>
        </w:numPr>
        <w:spacing w:after="80"/>
      </w:pPr>
      <w:r>
        <w:rPr>
          <w:rFonts w:ascii="Arial" w:cs="Arial" w:eastAsia="Arial" w:hAnsi="Arial"/>
          <w:sz w:val="22"/>
          <w:szCs w:val="22"/>
        </w:rPr>
        <w:t xml:space="preserve">Verify all NDAs are current and signed by active contractors</w:t>
      </w:r>
    </w:p>
    <w:p>
      <w:pPr>
        <w:pStyle w:val="ListParagraph"/>
        <w:numPr>
          <w:ilvl w:val="0"/>
          <w:numId w:val="2"/>
        </w:numPr>
        <w:spacing w:after="80"/>
      </w:pPr>
      <w:r>
        <w:rPr>
          <w:rFonts w:ascii="Arial" w:cs="Arial" w:eastAsia="Arial" w:hAnsi="Arial"/>
          <w:sz w:val="22"/>
          <w:szCs w:val="22"/>
        </w:rPr>
        <w:t xml:space="preserve">Confirm trade secret access logs are up to date</w:t>
      </w:r>
    </w:p>
    <w:p>
      <w:pPr>
        <w:pStyle w:val="ListParagraph"/>
        <w:numPr>
          <w:ilvl w:val="0"/>
          <w:numId w:val="2"/>
        </w:numPr>
        <w:spacing w:after="80"/>
      </w:pPr>
      <w:r>
        <w:rPr>
          <w:rFonts w:ascii="Arial" w:cs="Arial" w:eastAsia="Arial" w:hAnsi="Arial"/>
          <w:sz w:val="22"/>
          <w:szCs w:val="22"/>
        </w:rPr>
        <w:t xml:space="preserve">Check copyright registration status (pending applications)</w:t>
      </w:r>
    </w:p>
    <w:p>
      <w:pPr>
        <w:pStyle w:val="ListParagraph"/>
        <w:numPr>
          <w:ilvl w:val="0"/>
          <w:numId w:val="2"/>
        </w:numPr>
        <w:spacing w:after="80"/>
      </w:pPr>
      <w:r>
        <w:rPr>
          <w:rFonts w:ascii="Arial" w:cs="Arial" w:eastAsia="Arial" w:hAnsi="Arial"/>
          <w:sz w:val="22"/>
          <w:szCs w:val="22"/>
        </w:rPr>
        <w:t xml:space="preserve">Check trademark registration status</w:t>
      </w:r>
    </w:p>
    <w:p>
      <w:pPr>
        <w:pStyle w:val="ListParagraph"/>
        <w:numPr>
          <w:ilvl w:val="0"/>
          <w:numId w:val="2"/>
        </w:numPr>
        <w:spacing w:after="80"/>
      </w:pPr>
      <w:r>
        <w:rPr>
          <w:rFonts w:ascii="Arial" w:cs="Arial" w:eastAsia="Arial" w:hAnsi="Arial"/>
          <w:sz w:val="22"/>
          <w:szCs w:val="22"/>
        </w:rPr>
        <w:t xml:space="preserve">Review and update robots.txt if new AI crawlers have emerged</w:t>
      </w:r>
    </w:p>
    <w:p>
      <w:pPr>
        <w:pStyle w:val="ListParagraph"/>
        <w:numPr>
          <w:ilvl w:val="0"/>
          <w:numId w:val="2"/>
        </w:numPr>
        <w:spacing w:after="80"/>
      </w:pPr>
      <w:r>
        <w:rPr>
          <w:rFonts w:ascii="Arial" w:cs="Arial" w:eastAsia="Arial" w:hAnsi="Arial"/>
          <w:sz w:val="22"/>
          <w:szCs w:val="22"/>
        </w:rPr>
        <w:t xml:space="preserve">Document any new content created this quarter for future registration</w:t>
      </w:r>
    </w:p>
    <w:p>
      <w:pPr>
        <w:pStyle w:val="ListParagraph"/>
        <w:numPr>
          <w:ilvl w:val="0"/>
          <w:numId w:val="2"/>
        </w:numPr>
        <w:spacing w:after="80"/>
      </w:pPr>
      <w:r>
        <w:rPr>
          <w:rFonts w:ascii="Arial" w:cs="Arial" w:eastAsia="Arial" w:hAnsi="Arial"/>
          <w:sz w:val="22"/>
          <w:szCs w:val="22"/>
        </w:rPr>
        <w:t xml:space="preserve">Update this IP Protection Action Plan with any changes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TOP PERFORMER COACH  |  IP Protection Action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2026-02-14T23:14:55.073Z</dcterms:created>
  <dcterms:modified xsi:type="dcterms:W3CDTF">2026-02-14T23:14:55.073Z</dcterms:modified>
</cp:coreProperties>
</file>

<file path=docProps/custom.xml><?xml version="1.0" encoding="utf-8"?>
<Properties xmlns="http://schemas.openxmlformats.org/officeDocument/2006/custom-properties" xmlns:vt="http://schemas.openxmlformats.org/officeDocument/2006/docPropsVTypes"/>
</file>