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0"/>
          <w:szCs w:val="20"/>
        </w:rPr>
        <w:t xml:space="preserve">Architecture Decision Record</w:t>
      </w:r>
    </w:p>
    <w:p>
      <w:pPr>
        <w:spacing w:after="240"/>
      </w:pPr>
      <w:r>
        <w:rPr>
          <w:rFonts w:ascii="Calibri" w:cs="Calibri" w:eastAsia="Calibri" w:hAnsi="Calibri"/>
          <w:b/>
          <w:bCs/>
          <w:color w:val="1F3864"/>
          <w:sz w:val="32"/>
          <w:szCs w:val="32"/>
        </w:rPr>
        <w:t xml:space="preserve">ADR-002: Frontend Configuration, Secrets Handling, and the BFF Auth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Pr>
          <w:p>
            <w:r>
              <w:rPr>
                <w:rFonts w:ascii="Calibri" w:cs="Calibri" w:eastAsia="Calibri" w:hAnsi="Calibri"/>
                <w:b/>
                <w:bCs/>
              </w:rPr>
              <w:t xml:space="preserve">Status</w:t>
            </w:r>
          </w:p>
        </w:tc>
        <w:tc>
          <w:tcPr>
            <w:tcW w:type="dxa" w:w="6960"/>
          </w:tcPr>
          <w:p>
            <w:r>
              <w:rPr>
                <w:rFonts w:ascii="Calibri" w:cs="Calibri" w:eastAsia="Calibri" w:hAnsi="Calibri"/>
              </w:rPr>
              <w:t xml:space="preserve">Proposed</w:t>
            </w:r>
          </w:p>
        </w:tc>
      </w:tr>
      <w:tr>
        <w:tc>
          <w:tcPr>
            <w:tcW w:type="dxa" w:w="2400"/>
            <w:shd w:fill="D9E2F3" w:val="clear"/>
          </w:tcPr>
          <w:p>
            <w:r>
              <w:rPr>
                <w:rFonts w:ascii="Calibri" w:cs="Calibri" w:eastAsia="Calibri" w:hAnsi="Calibri"/>
                <w:b/>
                <w:bCs/>
              </w:rPr>
              <w:t xml:space="preserve">Date</w:t>
            </w:r>
          </w:p>
        </w:tc>
        <w:tc>
          <w:tcPr>
            <w:tcW w:type="dxa" w:w="6960"/>
          </w:tcPr>
          <w:p>
            <w:r>
              <w:rPr>
                <w:rFonts w:ascii="Calibri" w:cs="Calibri" w:eastAsia="Calibri" w:hAnsi="Calibri"/>
              </w:rPr>
              <w:t xml:space="preserve">July 2, 2026</w:t>
            </w:r>
          </w:p>
        </w:tc>
      </w:tr>
      <w:tr>
        <w:tc>
          <w:tcPr>
            <w:tcW w:type="dxa" w:w="2400"/>
            <w:shd w:fill="D9E2F3" w:val="clear"/>
          </w:tcPr>
          <w:p>
            <w:r>
              <w:rPr>
                <w:rFonts w:ascii="Calibri" w:cs="Calibri" w:eastAsia="Calibri" w:hAnsi="Calibri"/>
                <w:b/>
                <w:bCs/>
              </w:rPr>
              <w:t xml:space="preserve">Author</w:t>
            </w:r>
          </w:p>
        </w:tc>
        <w:tc>
          <w:tcPr>
            <w:tcW w:type="dxa" w:w="6960"/>
          </w:tcPr>
          <w:p>
            <w:r>
              <w:rPr>
                <w:rFonts w:ascii="Calibri" w:cs="Calibri" w:eastAsia="Calibri" w:hAnsi="Calibri"/>
              </w:rPr>
              <w:t xml:space="preserve">Michael</w:t>
            </w:r>
          </w:p>
        </w:tc>
      </w:tr>
      <w:tr>
        <w:tc>
          <w:tcPr>
            <w:tcW w:type="dxa" w:w="2400"/>
            <w:shd w:fill="D9E2F3" w:val="clear"/>
          </w:tcPr>
          <w:p>
            <w:r>
              <w:rPr>
                <w:rFonts w:ascii="Calibri" w:cs="Calibri" w:eastAsia="Calibri" w:hAnsi="Calibri"/>
                <w:b/>
                <w:bCs/>
              </w:rPr>
              <w:t xml:space="preserve">Project</w:t>
            </w:r>
          </w:p>
        </w:tc>
        <w:tc>
          <w:tcPr>
            <w:tcW w:type="dxa" w:w="6960"/>
          </w:tcPr>
          <w:p>
            <w:r>
              <w:rPr>
                <w:rFonts w:ascii="Calibri" w:cs="Calibri" w:eastAsia="Calibri" w:hAnsi="Calibri"/>
              </w:rPr>
              <w:t xml:space="preserve">PiddeCorp Integration Queue Pilot</w:t>
            </w:r>
          </w:p>
        </w:tc>
      </w:tr>
      <w:tr>
        <w:tc>
          <w:tcPr>
            <w:tcW w:type="dxa" w:w="2400"/>
            <w:shd w:fill="D9E2F3" w:val="clear"/>
          </w:tcPr>
          <w:p>
            <w:r>
              <w:rPr>
                <w:rFonts w:ascii="Calibri" w:cs="Calibri" w:eastAsia="Calibri" w:hAnsi="Calibri"/>
                <w:b/>
                <w:bCs/>
              </w:rPr>
              <w:t xml:space="preserve">Deciders</w:t>
            </w:r>
          </w:p>
        </w:tc>
        <w:tc>
          <w:tcPr>
            <w:tcW w:type="dxa" w:w="6960"/>
          </w:tcPr>
          <w:p>
            <w:r>
              <w:rPr>
                <w:rFonts w:ascii="Calibri" w:cs="Calibri" w:eastAsia="Calibri" w:hAnsi="Calibri"/>
              </w:rPr>
              <w:t xml:space="preserve">Michael (proposed); pending team/EA review</w:t>
            </w:r>
          </w:p>
        </w:tc>
      </w:tr>
      <w:tr>
        <w:tc>
          <w:tcPr>
            <w:tcW w:type="dxa" w:w="2400"/>
            <w:shd w:fill="D9E2F3" w:val="clear"/>
          </w:tcPr>
          <w:p>
            <w:r>
              <w:rPr>
                <w:rFonts w:ascii="Calibri" w:cs="Calibri" w:eastAsia="Calibri" w:hAnsi="Calibri"/>
                <w:b/>
                <w:bCs/>
              </w:rPr>
              <w:t xml:space="preserve">Supersedes</w:t>
            </w:r>
          </w:p>
        </w:tc>
        <w:tc>
          <w:tcPr>
            <w:tcW w:type="dxa" w:w="6960"/>
          </w:tcPr>
          <w:p>
            <w:r>
              <w:rPr>
                <w:rFonts w:ascii="Calibri" w:cs="Calibri" w:eastAsia="Calibri" w:hAnsi="Calibri"/>
              </w:rPr>
              <w:t xml:space="preserve">N/A</w:t>
            </w:r>
          </w:p>
        </w:tc>
      </w:tr>
    </w:tbl>
    <w:p>
      <w:pPr>
        <w:spacing w:after="80"/>
      </w:pPr>
    </w:p>
    <w:p>
      <w:pPr>
        <w:pStyle w:val="Heading1"/>
        <w:spacing w:after="160" w:before="320"/>
      </w:pPr>
      <w:r>
        <w:t xml:space="preserve">Context</w:t>
      </w:r>
    </w:p>
    <w:p>
      <w:pPr>
        <w:spacing w:after="160"/>
      </w:pPr>
      <w:r>
        <w:rPr>
          <w:rFonts w:ascii="Calibri" w:cs="Calibri" w:eastAsia="Calibri" w:hAnsi="Calibri"/>
        </w:rPr>
        <w:t xml:space="preserve">Our web app uses a client-side-rendered (CSR) SPA frontend backed by a Backend-for-Frontend (BFF). Authentication is handled via Azure Entra ID using the OAuth 2.0 Authorization Code + PKCE flow, mediated entirely by the BFF (the BFF is the confidential OAuth client; the SPA never holds access, refresh, or ID tokens — it authenticates to the BFF via an HttpOnly, Secure, SameSite session cookie).</w:t>
      </w:r>
    </w:p>
    <w:p>
      <w:pPr>
        <w:spacing w:after="160"/>
      </w:pPr>
      <w:r>
        <w:rPr>
          <w:rFonts w:ascii="Calibri" w:cs="Calibri" w:eastAsia="Calibri" w:hAnsi="Calibri"/>
        </w:rPr>
        <w:t xml:space="preserve">A related but distinct question came up during design discussions: how do we get configuration values — some public, some sensitive — into the frontend at runtime? Our current build pipeline pulls variables from Azure App Configuration, generates a .env file mounted into the pod, and Vite reads that at build time to produce a config.js consumed by the SPA.</w:t>
      </w:r>
    </w:p>
    <w:p>
      <w:pPr>
        <w:spacing w:after="160"/>
      </w:pPr>
      <w:r>
        <w:rPr>
          <w:rFonts w:ascii="Calibri" w:cs="Calibri" w:eastAsia="Calibri" w:hAnsi="Calibri"/>
        </w:rPr>
        <w:t xml:space="preserve">This raised the question of whether that same pipeline could or should be used to deliver secrets (API keys, connection strings, etc.) to the frontend. It should not. This ADR documents why, and draws a clear boundary between what is safe to expose to the browser and what must be routed through the BFF.</w:t>
      </w:r>
    </w:p>
    <w:p>
      <w:pPr>
        <w:pStyle w:val="Heading1"/>
        <w:spacing w:after="160" w:before="320"/>
      </w:pPr>
      <w:r>
        <w:t xml:space="preserve">Decisions</w:t>
      </w:r>
    </w:p>
    <w:p>
      <w:pPr>
        <w:pStyle w:val="Heading2"/>
        <w:spacing w:after="120" w:before="240"/>
      </w:pPr>
      <w:r>
        <w:t xml:space="preserve">1. Public Config vs. Secrets: the Browser is Always Public</w:t>
      </w:r>
    </w:p>
    <w:p>
      <w:pPr>
        <w:spacing w:after="160"/>
      </w:pPr>
      <w:r>
        <w:rPr>
          <w:rFonts w:ascii="Calibri" w:cs="Calibri" w:eastAsia="Calibri" w:hAnsi="Calibri"/>
        </w:rPr>
        <w:t xml:space="preserve">Anything shipped to the browser is public, without exception. The dividing line for what goes into config.js is not “is this sensitive” but “does this require proof of the user’s identity/authorization, or does it require the app’s own confidential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shd w:fill="2F5496" w:val="clear"/>
          </w:tcPr>
          <w:p>
            <w:r>
              <w:rPr>
                <w:rFonts w:ascii="Calibri" w:cs="Calibri" w:eastAsia="Calibri" w:hAnsi="Calibri"/>
                <w:b/>
                <w:bCs/>
                <w:color w:val="FFFFFF"/>
              </w:rPr>
              <w:t xml:space="preserve">Category</w:t>
            </w:r>
          </w:p>
        </w:tc>
        <w:tc>
          <w:tcPr>
            <w:tcW w:type="dxa" w:w="3600"/>
            <w:shd w:fill="2F5496" w:val="clear"/>
          </w:tcPr>
          <w:p>
            <w:r>
              <w:rPr>
                <w:rFonts w:ascii="Calibri" w:cs="Calibri" w:eastAsia="Calibri" w:hAnsi="Calibri"/>
                <w:b/>
                <w:bCs/>
                <w:color w:val="FFFFFF"/>
              </w:rPr>
              <w:t xml:space="preserve">Examples</w:t>
            </w:r>
          </w:p>
        </w:tc>
        <w:tc>
          <w:tcPr>
            <w:tcW w:type="dxa" w:w="2640"/>
            <w:shd w:fill="2F5496" w:val="clear"/>
          </w:tcPr>
          <w:p>
            <w:r>
              <w:rPr>
                <w:rFonts w:ascii="Calibri" w:cs="Calibri" w:eastAsia="Calibri" w:hAnsi="Calibri"/>
                <w:b/>
                <w:bCs/>
                <w:color w:val="FFFFFF"/>
              </w:rPr>
              <w:t xml:space="preserve">Delivery Path</w:t>
            </w:r>
          </w:p>
        </w:tc>
      </w:tr>
      <w:tr>
        <w:tc>
          <w:tcPr>
            <w:tcW w:type="dxa" w:w="3120"/>
          </w:tcPr>
          <w:p>
            <w:r>
              <w:rPr>
                <w:rFonts w:ascii="Calibri" w:cs="Calibri" w:eastAsia="Calibri" w:hAnsi="Calibri"/>
              </w:rPr>
              <w:t xml:space="preserve">Safe to expose to the SPA</w:t>
            </w:r>
          </w:p>
        </w:tc>
        <w:tc>
          <w:tcPr>
            <w:tcW w:type="dxa" w:w="3600"/>
          </w:tcPr>
          <w:p>
            <w:r>
              <w:rPr>
                <w:rFonts w:ascii="Calibri" w:cs="Calibri" w:eastAsia="Calibri" w:hAnsi="Calibri"/>
              </w:rPr>
              <w:t xml:space="preserve">Entra ID client (app registration) ID; tenant ID; redirect URIs; API base URLs; feature flags</w:t>
            </w:r>
          </w:p>
        </w:tc>
        <w:tc>
          <w:tcPr>
            <w:tcW w:type="dxa" w:w="2640"/>
          </w:tcPr>
          <w:p>
            <w:r>
              <w:rPr>
                <w:rFonts w:ascii="Calibri" w:cs="Calibri" w:eastAsia="Calibri" w:hAnsi="Calibri"/>
              </w:rPr>
              <w:t xml:space="preserve">App Configuration → .env → Vite → config.js</w:t>
            </w:r>
          </w:p>
        </w:tc>
      </w:tr>
      <w:tr>
        <w:tc>
          <w:tcPr>
            <w:tcW w:type="dxa" w:w="3120"/>
          </w:tcPr>
          <w:p>
            <w:r>
              <w:rPr>
                <w:rFonts w:ascii="Calibri" w:cs="Calibri" w:eastAsia="Calibri" w:hAnsi="Calibri"/>
              </w:rPr>
              <w:t xml:space="preserve">Must never reach the SPA</w:t>
            </w:r>
          </w:p>
        </w:tc>
        <w:tc>
          <w:tcPr>
            <w:tcW w:type="dxa" w:w="3600"/>
          </w:tcPr>
          <w:p>
            <w:r>
              <w:rPr>
                <w:rFonts w:ascii="Calibri" w:cs="Calibri" w:eastAsia="Calibri" w:hAnsi="Calibri"/>
              </w:rPr>
              <w:t xml:space="preserve">OAuth client secrets; downstream API keys; connection strings; app-level credentials</w:t>
            </w:r>
          </w:p>
        </w:tc>
        <w:tc>
          <w:tcPr>
            <w:tcW w:type="dxa" w:w="2640"/>
          </w:tcPr>
          <w:p>
            <w:r>
              <w:rPr>
                <w:rFonts w:ascii="Calibri" w:cs="Calibri" w:eastAsia="Calibri" w:hAnsi="Calibri"/>
              </w:rPr>
              <w:t xml:space="preserve">BFF only — held server-side</w:t>
            </w:r>
          </w:p>
        </w:tc>
      </w:tr>
      <w:tr>
        <w:tc>
          <w:tcPr>
            <w:tcW w:type="dxa" w:w="3120"/>
          </w:tcPr>
          <w:p>
            <w:r>
              <w:rPr>
                <w:rFonts w:ascii="Calibri" w:cs="Calibri" w:eastAsia="Calibri" w:hAnsi="Calibri"/>
              </w:rPr>
              <w:t xml:space="preserve">Must be mediated by the BFF</w:t>
            </w:r>
          </w:p>
        </w:tc>
        <w:tc>
          <w:tcPr>
            <w:tcW w:type="dxa" w:w="3600"/>
          </w:tcPr>
          <w:p>
            <w:r>
              <w:rPr>
                <w:rFonts w:ascii="Calibri" w:cs="Calibri" w:eastAsia="Calibri" w:hAnsi="Calibri"/>
              </w:rPr>
              <w:t xml:space="preserve">Any call to a downstream API made on the user’s behalf</w:t>
            </w:r>
          </w:p>
        </w:tc>
        <w:tc>
          <w:tcPr>
            <w:tcW w:type="dxa" w:w="2640"/>
          </w:tcPr>
          <w:p>
            <w:r>
              <w:rPr>
                <w:rFonts w:ascii="Calibri" w:cs="Calibri" w:eastAsia="Calibri" w:hAnsi="Calibri"/>
              </w:rPr>
              <w:t xml:space="preserve">SPA → BFF session cookie → BFF attaches mediated token</w:t>
            </w:r>
          </w:p>
        </w:tc>
      </w:tr>
    </w:tbl>
    <w:p>
      <w:pPr>
        <w:spacing w:after="80"/>
      </w:pPr>
    </w:p>
    <w:p>
      <w:pPr>
        <w:pStyle w:val="Heading2"/>
        <w:spacing w:after="120" w:before="240"/>
      </w:pPr>
      <w:r>
        <w:t xml:space="preserve">2. Structural Separation of Secrets from Public Config</w:t>
      </w:r>
    </w:p>
    <w:p>
      <w:pPr>
        <w:spacing w:after="160"/>
      </w:pPr>
      <w:r>
        <w:rPr>
          <w:rFonts w:ascii="Calibri" w:cs="Calibri" w:eastAsia="Calibri" w:hAnsi="Calibri"/>
        </w:rPr>
        <w:t xml:space="preserve">Secrets must live in a store that is structurally separate from public config (e.g., Azure Key Vault, or a clearly namespaced/tagged separate App Configuration store), rather than relying on convention to keep secrets out of the store that feeds the Vite export step. The export/build step should pull from a source that cannot contain secrets by construction, not one where secrets are merely assumed absent.</w:t>
      </w:r>
    </w:p>
    <w:p>
      <w:pPr>
        <w:pStyle w:val="Heading2"/>
        <w:spacing w:after="120" w:before="240"/>
      </w:pPr>
      <w:r>
        <w:t xml:space="preserve">3. BFF as the Sole Holder of Tokens and Credentials</w:t>
      </w:r>
    </w:p>
    <w:p>
      <w:pPr>
        <w:spacing w:after="160"/>
      </w:pPr>
      <w:r>
        <w:rPr>
          <w:rFonts w:ascii="Calibri" w:cs="Calibri" w:eastAsia="Calibri" w:hAnsi="Calibri"/>
        </w:rPr>
        <w:t xml:space="preserve">The BFF is the OAuth confidential client. It performs the Entra ID token exchange server-side, stores tokens in a server-side session store keyed by session ID, and issues the SPA only an HttpOnly, Secure, SameSite session cookie. The SPA never sees a bearer token, and token refresh, expiry, and revocation are handled entirely server-side.</w:t>
      </w:r>
    </w:p>
    <w:p>
      <w:pPr>
        <w:pStyle w:val="Heading1"/>
        <w:spacing w:after="160" w:before="320"/>
      </w:pPr>
      <w:r>
        <w:t xml:space="preserve">Consequences</w:t>
      </w:r>
    </w:p>
    <w:p>
      <w:pPr>
        <w:pStyle w:val="Heading2"/>
        <w:spacing w:after="120" w:before="240"/>
      </w:pPr>
      <w:r>
        <w:t xml:space="preserve">Positive</w:t>
      </w:r>
    </w:p>
    <w:p>
      <w:pPr>
        <w:pStyle w:val="ListParagraph"/>
        <w:numPr>
          <w:ilvl w:val="0"/>
          <w:numId w:val="1"/>
        </w:numPr>
        <w:spacing w:after="80"/>
      </w:pPr>
      <w:r>
        <w:rPr>
          <w:rFonts w:ascii="Calibri" w:cs="Calibri" w:eastAsia="Calibri" w:hAnsi="Calibri"/>
        </w:rPr>
        <w:t xml:space="preserve">Eliminates an entire class of accidental secret-leakage bugs — e.g., a future contributor adding a “convenient” secret to the same App Configuration store used for public config, which then flows silently through the existing export pipeline into a public JS bundle</w:t>
      </w:r>
    </w:p>
    <w:p>
      <w:pPr>
        <w:pStyle w:val="ListParagraph"/>
        <w:numPr>
          <w:ilvl w:val="0"/>
          <w:numId w:val="1"/>
        </w:numPr>
        <w:spacing w:after="80"/>
      </w:pPr>
      <w:r>
        <w:rPr>
          <w:rFonts w:ascii="Calibri" w:cs="Calibri" w:eastAsia="Calibri" w:hAnsi="Calibri"/>
        </w:rPr>
        <w:t xml:space="preserve">Keeps the SPA’s attack surface minimal — no bearer tokens live in browser-accessible memory or storage, reducing XSS blast radius to session-cookie theft (mitigated by HttpOnly/Secure/SameSite) rather than direct token theft</w:t>
      </w:r>
    </w:p>
    <w:p>
      <w:pPr>
        <w:pStyle w:val="ListParagraph"/>
        <w:numPr>
          <w:ilvl w:val="0"/>
          <w:numId w:val="1"/>
        </w:numPr>
        <w:spacing w:after="80"/>
      </w:pPr>
      <w:r>
        <w:rPr>
          <w:rFonts w:ascii="Calibri" w:cs="Calibri" w:eastAsia="Calibri" w:hAnsi="Calibri"/>
        </w:rPr>
        <w:t xml:space="preserve">Token lifecycle (refresh, revocation, expiry handling) lives entirely server-side in the BFF, where it can be reasoned about and tested, rather than scattered across SPA-side callbacks</w:t>
      </w:r>
    </w:p>
    <w:p>
      <w:pPr>
        <w:pStyle w:val="ListParagraph"/>
        <w:numPr>
          <w:ilvl w:val="0"/>
          <w:numId w:val="1"/>
        </w:numPr>
        <w:spacing w:after="80"/>
      </w:pPr>
      <w:r>
        <w:rPr>
          <w:rFonts w:ascii="Calibri" w:cs="Calibri" w:eastAsia="Calibri" w:hAnsi="Calibri"/>
        </w:rPr>
        <w:t xml:space="preserve">Establishes a single, consistent rule (“public config vs. BFF-mediated access”) that new engineers can apply without needing to know the contents of any given config value in advance</w:t>
      </w:r>
    </w:p>
    <w:p>
      <w:pPr>
        <w:spacing w:after="80"/>
      </w:pPr>
    </w:p>
    <w:p>
      <w:pPr>
        <w:pStyle w:val="Heading2"/>
        <w:spacing w:after="120" w:before="240"/>
      </w:pPr>
      <w:r>
        <w:t xml:space="preserve">Negative / Tradeoffs</w:t>
      </w:r>
    </w:p>
    <w:p>
      <w:pPr>
        <w:pStyle w:val="ListParagraph"/>
        <w:numPr>
          <w:ilvl w:val="0"/>
          <w:numId w:val="1"/>
        </w:numPr>
        <w:spacing w:after="80"/>
      </w:pPr>
      <w:r>
        <w:rPr>
          <w:rFonts w:ascii="Calibri" w:cs="Calibri" w:eastAsia="Calibri" w:hAnsi="Calibri"/>
        </w:rPr>
        <w:t xml:space="preserve">Requires maintaining two separate configuration stores (or clear namespacing within one), adding minor operational overhead versus a single unified config source</w:t>
      </w:r>
    </w:p>
    <w:p>
      <w:pPr>
        <w:pStyle w:val="ListParagraph"/>
        <w:numPr>
          <w:ilvl w:val="0"/>
          <w:numId w:val="1"/>
        </w:numPr>
        <w:spacing w:after="80"/>
      </w:pPr>
      <w:r>
        <w:rPr>
          <w:rFonts w:ascii="Calibri" w:cs="Calibri" w:eastAsia="Calibri" w:hAnsi="Calibri"/>
        </w:rPr>
        <w:t xml:space="preserve">Any new downstream integration must be built as a BFF-mediated call by default, even in cases where it might have been faster to call directly from the SPA — this is an intentional constraint, not an oversight</w:t>
      </w:r>
    </w:p>
    <w:p>
      <w:pPr>
        <w:pStyle w:val="ListParagraph"/>
        <w:numPr>
          <w:ilvl w:val="0"/>
          <w:numId w:val="1"/>
        </w:numPr>
        <w:spacing w:after="80"/>
      </w:pPr>
      <w:r>
        <w:rPr>
          <w:rFonts w:ascii="Calibri" w:cs="Calibri" w:eastAsia="Calibri" w:hAnsi="Calibri"/>
        </w:rPr>
        <w:t xml:space="preserve">Requires CSRF protection (SameSite cookie attributes plus, for state-changing requests, a synchronizer or double-submit token) since the BFF now relies on cookie-based session auth</w:t>
      </w:r>
    </w:p>
    <w:p>
      <w:pPr>
        <w:pStyle w:val="Heading1"/>
        <w:spacing w:after="160" w:before="320"/>
      </w:pPr>
      <w:r>
        <w:t xml:space="preserve">Alternatives Considered</w:t>
      </w:r>
    </w:p>
    <w:p>
      <w:pPr>
        <w:spacing w:after="160"/>
      </w:pPr>
      <w:r>
        <w:rPr>
          <w:rFonts w:ascii="Calibri" w:cs="Calibri" w:eastAsia="Calibri" w:hAnsi="Calibri"/>
        </w:rPr>
        <w:t xml:space="preserve">Pass the user’s Entra access token directly from the SPA to the BFF (SPA as OAuth client). Rejected. This is the more common but less safe pattern: the SPA runs the OAuth flow itself (e.g., via MSAL.js) and attaches a bearer token to every BFF request. Any XSS vulnerability becomes a direct token theft / account takeover, with no cookie protections in play. This also pushes silent-refresh and token-expiry logic into the browser, which is more moving parts than necessary given the BFF pattern already exists to absorb that complexity.</w:t>
      </w:r>
    </w:p>
    <w:p>
      <w:pPr>
        <w:spacing w:after="160"/>
      </w:pPr>
      <w:r>
        <w:rPr>
          <w:rFonts w:ascii="Calibri" w:cs="Calibri" w:eastAsia="Calibri" w:hAnsi="Calibri"/>
        </w:rPr>
        <w:t xml:space="preserve">Single unified config store for both public and secret values, relying on developer discipline to segregate them. Rejected. Convention-based separation degrades over time as new contributors and new values are added without full context on the export pipeline’s blast radius. Structural separation (different store, or enforced tagging with pipeline-level filtering) is a stronger guarantee than a naming convention.</w:t>
      </w:r>
    </w:p>
    <w:p>
      <w:pPr>
        <w:pStyle w:val="Heading1"/>
        <w:spacing w:after="160" w:before="320"/>
      </w:pPr>
      <w:r>
        <w:t xml:space="preserve">Notes</w:t>
      </w:r>
    </w:p>
    <w:p>
      <w:pPr>
        <w:spacing w:after="160"/>
      </w:pPr>
      <w:r>
        <w:rPr>
          <w:rFonts w:ascii="Calibri" w:cs="Calibri" w:eastAsia="Calibri" w:hAnsi="Calibri"/>
        </w:rPr>
        <w:t xml:space="preserve">This ADR was authored during design discussion for the pilot project, prior to implementation. It documents the intended pattern for frontend configuration and secrets handling and is intended to inform the equivalent decision on the work project, where auth implementation begins in the coming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2F5496"/>
      <w:sz w:val="28"/>
      <w:szCs w:val="28"/>
    </w:rPr>
  </w:style>
  <w:style w:type="paragraph" w:styleId="Heading2">
    <w:name w:val="Heading 2"/>
    <w:basedOn w:val="Normal"/>
    <w:next w:val="Normal"/>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2026-07-02T05:26:45.754Z</dcterms:created>
  <dcterms:modified xsi:type="dcterms:W3CDTF">2026-07-02T05:26:45.754Z</dcterms:modified>
</cp:coreProperties>
</file>

<file path=docProps/custom.xml><?xml version="1.0" encoding="utf-8"?>
<Properties xmlns="http://schemas.openxmlformats.org/officeDocument/2006/custom-properties" xmlns:vt="http://schemas.openxmlformats.org/officeDocument/2006/docPropsVTypes"/>
</file>