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des systèmes de santé de l'Organisation mondiale de la santé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CA-3-P010076003</w:t>
      </w:r>
    </w:p>
    <w:p>
      <w:r>
        <w:rPr>
          <w:b/>
        </w:rPr>
        <w:t xml:space="preserve">Lieu : </w:t>
      </w:r>
      <w:r>
        <w:t>Afrique, régional, Amérique, régional, Moyen-Orient, régional, Extrême-Orient,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OMS - Organisation mondiale de la Santé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2023-03-10T00:00:00 au 2024-12-31T00:00:00</w:t>
      </w:r>
    </w:p>
    <w:p>
      <w:r>
        <w:rPr>
          <w:b/>
        </w:rPr>
        <w:t xml:space="preserve">Engagement : </w:t>
      </w:r>
      <w:r>
        <w:t>25000000.00</w:t>
      </w:r>
    </w:p>
    <w:p>
      <w:r>
        <w:rPr>
          <w:b/>
        </w:rPr>
        <w:t xml:space="preserve">Total envoye en $ : </w:t>
      </w:r>
      <w:r>
        <w:t>25000000.0</w:t>
      </w:r>
    </w:p>
    <w:p>
      <w:r>
        <w:rPr>
          <w:b/>
        </w:rPr>
        <w:t xml:space="preserve">Description : </w:t>
      </w:r>
      <w:r>
        <w:t>Le projet vise à renforcer les systèmes nationaux et locaux de soins de santé primaires dans 10 pays prioritaires afin d’améliorer les services de santé essentiels continus dans le contexte de la COVID-19. Les activités de ce projet comprennent : 1) fournir une assistance technique en matière d’égalité des genres et de droits de la personne dans le cadre des stratégies et des directives en matière de soins de santé primaires; 2) former le personnel médical à la gestion clinique des patients atteints de COVID-19; 3) renforcer les plans d’approvisionnement nationaux et les processus de la chaîne d’approvisionnement. Ce projet cible les populations défavorisées, y compris celles en situation de vulnérabilité, comme les travailleurs du sexe, les adolescentes et les jeunes femmes. Il cible également les personnes lesbiennes, gaies, bisexuelles, transgenres, intersexuées et autres (LGBTI+), en mettant l’accent sur l’égalité des genres et les droits de la personne.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2023-03-15T00:00:00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