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Action pour transformer le secteur de garde d’enfants</w:t>
      </w:r>
    </w:p>
    <w:p/>
    <w:p>
      <w:r>
        <w:rPr>
          <w:b/>
        </w:rPr>
        <w:t xml:space="preserve">Organisme : </w:t>
      </w:r>
      <w:r>
        <w:t>Affaires Mondiales Canada</w:t>
      </w:r>
    </w:p>
    <w:p>
      <w:r>
        <w:rPr>
          <w:b/>
        </w:rPr>
        <w:t xml:space="preserve">Numero de projet : </w:t>
      </w:r>
      <w:r>
        <w:t>CA-3-P012499001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2024-03-22T00:00:00 au 2028-03-31T00:00:00</w:t>
      </w:r>
    </w:p>
    <w:p>
      <w:r>
        <w:rPr>
          <w:b/>
        </w:rPr>
        <w:t xml:space="preserve">Engagement : </w:t>
      </w:r>
      <w:r>
        <w:t>5950000.00</w:t>
      </w:r>
    </w:p>
    <w:p>
      <w:r>
        <w:rPr>
          <w:b/>
        </w:rPr>
        <w:t xml:space="preserve">Total envoye en $ : </w:t>
      </w:r>
      <w:r>
        <w:t>1500000.0</w:t>
      </w:r>
    </w:p>
    <w:p>
      <w:r>
        <w:rPr>
          <w:b/>
        </w:rPr>
        <w:t xml:space="preserve">Description : </w:t>
      </w:r>
      <w:r>
        <w:t>Le projet vise à renforcer le pouvoir économique des femmes chargées de la garde d’enfants rémunérée au Kenya et au Malawi. Les activités de ce projet comprennent : 1) soutenir les groupes et les collectifs de femmes prestataires de services rémunérés de garde d’enfants afin de concevoir et de mettre en œuvre des stratégies de plaidoyer et de coordination tenant compte de la dimension de genre; 2) élaborer des programmes d’études, de la formation et des normes de certification sensibles au genre et aux personnes vivant avec un handicap pour les services de garde d’enfants; 3) soutenir les décideurs politiques et les organismes de réglementation afin de faire progresser les lois, les politiques et les règlements relatifs aux services de garde d’enfants qui jouent un rôle transformateur en matière de genre; 4) élaborer des campagnes de sensibilisation à la violence sexuelle et fondée sur le genre et aux droits des femmes qui travaillent dans des services rémunérés de garde d’enfants; 5) fournir des subventions de contrepartie aux organisations locales pour élaborer et élargir des services et des modèles commerciaux novateurs et tenant compte de la dimension de genre pour les femmes qui travaillent dans des services rémunérés de garde d’enfants; 6) soutenir les prestataires de services financiers pour créer et élargir des produits ou des services tenant compte de la dimension de genre qui répondent aux besoins et aux capacités des femmes qui travaillent dans des services rémunérés de garde d’enfants.  L’Entraide universitaire mondiale du Canada (EUMC) exécute ce projet en partenariat avec les organisations locales: Coalition of Violence Against Women (Coalition contre la violence faite aux femmes) et le Women’s Legal Resources Centre (Centre de ressources juridiques pour les femmes), en collaboration avec d’autres partenaires locaux. Ce projet prévoit rejoindre 42 000 femmes prestataires de services de garde d’enfants, y compris des dirigeantes de microentreprises et des travailleuses en garderie, qui travaillent dans les régions ciblées du Kenya et du Malawi.</w:t>
      </w:r>
    </w:p>
    <w:p>
      <w:pPr>
        <w:pStyle w:val="Heading2"/>
      </w:pPr>
      <w:r>
        <w:t>Transactions</w:t>
      </w:r>
    </w:p>
    <w:p>
      <w:r>
        <w:rPr>
          <w:b/>
        </w:rPr>
        <w:t xml:space="preserve">Date : </w:t>
      </w:r>
      <w:r>
        <w:t>2024-03-22T00:00:00</w:t>
      </w:r>
      <w:r>
        <w:rPr>
          <w:b/>
        </w:rPr>
        <w:t xml:space="preserve">Type : </w:t>
      </w:r>
      <w:r>
        <w:t>Engagement</w:t>
      </w:r>
      <w:r>
        <w:rPr>
          <w:b/>
        </w:rPr>
        <w:t xml:space="preserve"> Montant : </w:t>
      </w:r>
      <w:r>
        <w:t>5950000.00</w:t>
      </w:r>
    </w:p>
    <w:p>
      <w:r>
        <w:rPr>
          <w:b/>
        </w:rPr>
        <w:t xml:space="preserve">Date : </w:t>
      </w:r>
      <w:r>
        <w:t>2024-03-27T00:00:00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