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Alimentation scolaire : Caracas et Miranda</w:t>
      </w:r>
    </w:p>
    <w:p/>
    <w:p>
      <w:r>
        <w:rPr>
          <w:b/>
        </w:rPr>
        <w:t xml:space="preserve">Organisme : </w:t>
      </w:r>
      <w:r>
        <w:t>Affaires Mondiales Canada</w:t>
      </w:r>
    </w:p>
    <w:p>
      <w:r>
        <w:rPr>
          <w:b/>
        </w:rPr>
        <w:t xml:space="preserve">Numero de projet : </w:t>
      </w:r>
      <w:r>
        <w:t>CA-3-P010485001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2021-11-15T00:00:00 au 2022-12-30T00:00:00</w:t>
      </w:r>
    </w:p>
    <w:p>
      <w:r>
        <w:rPr>
          <w:b/>
        </w:rPr>
        <w:t xml:space="preserve">Engagement : </w:t>
      </w:r>
      <w:r>
        <w:t>4000000.00</w:t>
      </w:r>
    </w:p>
    <w:p>
      <w:r>
        <w:rPr>
          <w:b/>
        </w:rPr>
        <w:t xml:space="preserve">Total envoye en $ : </w:t>
      </w:r>
      <w:r>
        <w:t>4000000.0</w:t>
      </w:r>
    </w:p>
    <w:p>
      <w:r>
        <w:rPr>
          <w:b/>
        </w:rPr>
        <w:t xml:space="preserve">Description : </w:t>
      </w:r>
      <w:r>
        <w:t>Le présent projet vise à fournir des repas complets et nutritifs à 7 650 enfants dans des collectivités ciblées à Caracas et dans l’État de Miranda, en adoptant une approche intégrée qui permet de renforcer les résultats scolaires des enfants d’âge scolaire. Pour ce faire, il vise à combiner l’alimentation scolaire avec des interventions inclusives en matière d’eau, d’assainissement et d’hygiène à l’école et au niveau des ménages et en encourageant l’augmentation de la participation des enfants et des adolescents sur les plateformes pour exprimer leurs préoccupations.  Les activités de ce projet comprennent : 1) fournir à 8500 étudiants (dont 4565 filles) et à 605 professeurs et membres du personnel scolaire (dont 445 femmes) dans 19 écoles des aliments nutritifs et l’accès à des trousses d’hygiène, notamment des articles d’hygiène menstruelles et pratiques; 2) former les 400 professeurs et membres du personnel (dont 445 femmes) dans 19 écoles à utiliser des méthodes axées sur la dimension de genre comme la prévention de la violence sexiste, les processus d’aiguillage vers les services et les droits de l’enfant; leur donner accès à des coffrets pédagogiques et former le personnel à les utiliser; 3) mettre sur pied une équipe technique opérationnelle dans les 12 écoles pour assurer la propriété de l’information, sa surveillance et l’accès à l’information à l’échelle locale pour les parents et les membres de la collectivité, y compris les pratiques axées sur la dimension de genre.</w:t>
      </w:r>
    </w:p>
    <w:p>
      <w:pPr>
        <w:pStyle w:val="Heading2"/>
      </w:pPr>
      <w:r>
        <w:t>Transactions</w:t>
      </w:r>
    </w:p>
    <w:p>
      <w:r>
        <w:rPr>
          <w:b/>
        </w:rPr>
        <w:t xml:space="preserve">Date : </w:t>
      </w:r>
      <w:r>
        <w:t>2021-11-15T00:00:00</w:t>
      </w:r>
      <w:r>
        <w:rPr>
          <w:b/>
        </w:rPr>
        <w:t xml:space="preserve">Type : </w:t>
      </w:r>
      <w:r>
        <w:t>Engagement</w:t>
      </w:r>
      <w:r>
        <w:rPr>
          <w:b/>
        </w:rPr>
        <w:t xml:space="preserve"> Montant : </w:t>
      </w:r>
      <w:r>
        <w:t>4000000.00</w:t>
      </w:r>
    </w:p>
    <w:p>
      <w:r>
        <w:rPr>
          <w:b/>
        </w:rPr>
        <w:t xml:space="preserve">Date : </w:t>
      </w:r>
      <w:r>
        <w:t>2021-11-18T00:00:00</w:t>
      </w:r>
      <w:r>
        <w:rPr>
          <w:b/>
        </w:rPr>
        <w:t xml:space="preserve">Type : </w:t>
      </w:r>
      <w:r>
        <w:t>Déboursé</w:t>
      </w:r>
      <w:r>
        <w:rPr>
          <w:b/>
        </w:rPr>
        <w:t xml:space="preserve"> Montant : </w:t>
      </w:r>
      <w:r>
        <w:t>3400000.00</w:t>
      </w:r>
    </w:p>
    <w:p>
      <w:r>
        <w:rPr>
          <w:b/>
        </w:rPr>
        <w:t xml:space="preserve">Date : </w:t>
      </w:r>
      <w:r>
        <w:t>2023-01-24T00:00:00</w:t>
      </w:r>
      <w:r>
        <w:rPr>
          <w:b/>
        </w:rPr>
        <w:t xml:space="preserve">Type : </w:t>
      </w:r>
      <w:r>
        <w:t>Déboursé</w:t>
      </w:r>
      <w:r>
        <w:rPr>
          <w:b/>
        </w:rPr>
        <w:t xml:space="preserve"> Montant : </w:t>
      </w:r>
      <w:r>
        <w:t>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