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Alimentation scolaire au Venezuela: État de Zulia</w:t>
      </w:r>
    </w:p>
    <w:p/>
    <w:p>
      <w:r>
        <w:rPr>
          <w:b/>
        </w:rPr>
        <w:t xml:space="preserve">Organisme : </w:t>
      </w:r>
      <w:r>
        <w:t>Affaires Mondiales Canada</w:t>
      </w:r>
    </w:p>
    <w:p>
      <w:r>
        <w:rPr>
          <w:b/>
        </w:rPr>
        <w:t xml:space="preserve">Numero de projet : </w:t>
      </w:r>
      <w:r>
        <w:t>CA-3-P009639001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2021-02-12T00:00:00 au 2023-12-31T00:00:00</w:t>
      </w:r>
    </w:p>
    <w:p>
      <w:r>
        <w:rPr>
          <w:b/>
        </w:rPr>
        <w:t xml:space="preserve">Engagement : </w:t>
      </w:r>
      <w:r>
        <w:t>4950000.00</w:t>
      </w:r>
    </w:p>
    <w:p>
      <w:r>
        <w:rPr>
          <w:b/>
        </w:rPr>
        <w:t xml:space="preserve">Total envoye en $ : </w:t>
      </w:r>
      <w:r>
        <w:t>4950000.0</w:t>
      </w:r>
    </w:p>
    <w:p>
      <w:r>
        <w:rPr>
          <w:b/>
        </w:rPr>
        <w:t xml:space="preserve">Description : </w:t>
      </w:r>
      <w:r>
        <w:t>Le présent projet vise à fournir aux écolières et aux écoliers l’occasion de recevoir un repas quotidien leur permettant d’améliorer leur nutrition tout en favorisant l’accès à l’école et le taux de persévérance scolaire. Le programme d’alimentation scolaire permet d’améliorer grandement l’apprentissage, d’augmenter le nombre d’étudiants inscrits, d’améliorer le taux de présence en cours et de promouvoir la réussite scolaire dans l’État de Zulia au Vénézuéla.  Les activités de ce projet comprennent : 1) fournir à 8500 étudiants (dont 4565 filles) et à 605 professeurs et membres du personnel scolaire (dont 445 femmes) dans 19 écoles des aliments nutritifs et l’accès à des trousses d’hygiène, notamment des articles d’hygiène menstruelles et pratiques; 2) former les 607 professeurs et membres du personnel (dont 445 femmes) dans 19 écoles à utiliser des méthodes axées sur la dimension de genre comme la prévention de la violence sexiste, les processus d’aiguillage vers les services et les droits de l’enfant; leur donner accès à des coffrets pédagogiques et former le personnel à les utiliser; 3) mettre sur pied une équipe technique opérationnelle dans les 19 écoles pour assurer la propriété de l’information, sa surveillance et l’accès à l’information à l’échelle locale pour les parents et les membres de la collectivité, y compris les pratiques axées sur la dimension de genre.</w:t>
      </w:r>
    </w:p>
    <w:p>
      <w:pPr>
        <w:pStyle w:val="Heading2"/>
      </w:pPr>
      <w:r>
        <w:t>Transactions</w:t>
      </w:r>
    </w:p>
    <w:p>
      <w:r>
        <w:rPr>
          <w:b/>
        </w:rPr>
        <w:t xml:space="preserve">Date : </w:t>
      </w:r>
      <w:r>
        <w:t>2021-02-12T00:00:00</w:t>
      </w:r>
      <w:r>
        <w:rPr>
          <w:b/>
        </w:rPr>
        <w:t xml:space="preserve">Type : </w:t>
      </w:r>
      <w:r>
        <w:t>Engagement</w:t>
      </w:r>
      <w:r>
        <w:rPr>
          <w:b/>
        </w:rPr>
        <w:t xml:space="preserve"> Montant : </w:t>
      </w:r>
      <w:r>
        <w:t>4950000.00</w:t>
      </w:r>
    </w:p>
    <w:p>
      <w:r>
        <w:rPr>
          <w:b/>
        </w:rPr>
        <w:t xml:space="preserve">Date : </w:t>
      </w:r>
      <w:r>
        <w:t>2021-03-04T00:00:00</w:t>
      </w:r>
      <w:r>
        <w:rPr>
          <w:b/>
        </w:rPr>
        <w:t xml:space="preserve">Type : </w:t>
      </w:r>
      <w:r>
        <w:t>Déboursé</w:t>
      </w:r>
      <w:r>
        <w:rPr>
          <w:b/>
        </w:rPr>
        <w:t xml:space="preserve"> Montant : </w:t>
      </w:r>
      <w:r>
        <w:t>4100000.00</w:t>
      </w:r>
    </w:p>
    <w:p>
      <w:r>
        <w:rPr>
          <w:b/>
        </w:rPr>
        <w:t xml:space="preserve">Date : </w:t>
      </w:r>
      <w:r>
        <w:t>2022-01-26T00:00:00</w:t>
      </w:r>
      <w:r>
        <w:rPr>
          <w:b/>
        </w:rPr>
        <w:t xml:space="preserve">Type : </w:t>
      </w:r>
      <w:r>
        <w:t>Déboursé</w:t>
      </w:r>
      <w:r>
        <w:rPr>
          <w:b/>
        </w:rPr>
        <w:t xml:space="preserve"> Montant : </w:t>
      </w:r>
      <w:r>
        <w:t>850000.00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