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mécanisme de soutien à la paix pour le Yémen du Programme des Nations unies</w:t>
      </w:r>
    </w:p>
    <w:p/>
    <w:p>
      <w:r>
        <w:rPr>
          <w:b/>
        </w:rPr>
        <w:t xml:space="preserve">Organisme : </w:t>
      </w:r>
      <w:r>
        <w:t>Affaires Mondiales Canada</w:t>
      </w:r>
    </w:p>
    <w:p>
      <w:r>
        <w:rPr>
          <w:b/>
        </w:rPr>
        <w:t xml:space="preserve">Numero de projet : </w:t>
      </w:r>
      <w:r>
        <w:t>CA-3-P007388001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2019-07-03T00:00:00 au 2025-12-31T00:00:00</w:t>
      </w:r>
    </w:p>
    <w:p>
      <w:r>
        <w:rPr>
          <w:b/>
        </w:rPr>
        <w:t xml:space="preserve">Engagement : </w:t>
      </w:r>
      <w:r>
        <w:t>3500000.00</w:t>
      </w:r>
    </w:p>
    <w:p>
      <w:r>
        <w:rPr>
          <w:b/>
        </w:rPr>
        <w:t xml:space="preserve">Total envoye en $ : </w:t>
      </w:r>
      <w:r>
        <w:t>3500000.0</w:t>
      </w:r>
    </w:p>
    <w:p>
      <w:r>
        <w:rPr>
          <w:b/>
        </w:rPr>
        <w:t xml:space="preserve">Description : </w:t>
      </w:r>
      <w:r>
        <w:t>Ce projet vise à appuyer le Programme des Nations Unies pour le développement, qui a créé le Mécanisme de soutien à la paix afin de fournir à l’Envoyé spécial des Nations Unies pour le Yémen un financement accessible pour la mise en œuvre rapide d’initiatives concrètes dans le but de renforcer les accords de paix pour le Yémen négociés par l’ONU. Ces initiatives permettent d’accroître le soutien populaire envers le processus de paix par la prestation de services essentiels actuellement non disponibles. Les activités du projet comprennent : 1) mise en œuvre de l’Accord sur Hodeïda et de nouvelles initiatives demandées par les parties en établissant un lien clair avec l’Accord de Stockholm ou tout autre accord possible entre les parties yéménites sous l’égide de l’ONU; 2) réalisation d’activités qui découlent des initiatives du volet II; 3) soutien aux ententes de gouvernance transitoire lorsque les parties sont d’accord.</w:t>
      </w:r>
    </w:p>
    <w:p>
      <w:pPr>
        <w:pStyle w:val="Heading2"/>
      </w:pPr>
      <w:r>
        <w:t>Transactions</w:t>
      </w:r>
    </w:p>
    <w:p>
      <w:r>
        <w:rPr>
          <w:b/>
        </w:rPr>
        <w:t xml:space="preserve">Date : </w:t>
      </w:r>
      <w:r>
        <w:t>2019-07-03T00:00:00</w:t>
      </w:r>
      <w:r>
        <w:rPr>
          <w:b/>
        </w:rPr>
        <w:t xml:space="preserve">Type : </w:t>
      </w:r>
      <w:r>
        <w:t>Engagement</w:t>
      </w:r>
      <w:r>
        <w:rPr>
          <w:b/>
        </w:rPr>
        <w:t xml:space="preserve"> Montant : </w:t>
      </w:r>
      <w:r>
        <w:t>3500000.00</w:t>
      </w:r>
    </w:p>
    <w:p>
      <w:r>
        <w:rPr>
          <w:b/>
        </w:rPr>
        <w:t xml:space="preserve">Date : </w:t>
      </w:r>
      <w:r>
        <w:t>2019-07-11T00:00:00</w:t>
      </w:r>
      <w:r>
        <w:rPr>
          <w:b/>
        </w:rPr>
        <w:t xml:space="preserve">Type : </w:t>
      </w:r>
      <w:r>
        <w:t>Déboursé</w:t>
      </w:r>
      <w:r>
        <w:rPr>
          <w:b/>
        </w:rPr>
        <w:t xml:space="preserve"> Montant : </w:t>
      </w:r>
      <w:r>
        <w:t>2000000.00</w:t>
      </w:r>
    </w:p>
    <w:p>
      <w:r>
        <w:rPr>
          <w:b/>
        </w:rPr>
        <w:t xml:space="preserve">Date : </w:t>
      </w:r>
      <w:r>
        <w:t>2022-03-23T00:00:00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