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Communications stratégiques pour l’envoyée spéciale du Secrétaire général pour le Myanmar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CA-3-P012447001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Office of the Special Envoy of the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2023-03-21T00:00:00 au 2026-01-15T00:00:00</w:t>
      </w:r>
    </w:p>
    <w:p>
      <w:r>
        <w:rPr>
          <w:b/>
        </w:rPr>
        <w:t xml:space="preserve">Engagement : </w:t>
      </w:r>
      <w:r>
        <w:t>615719.00</w:t>
      </w:r>
    </w:p>
    <w:p>
      <w:r>
        <w:rPr>
          <w:b/>
        </w:rPr>
        <w:t xml:space="preserve">Total envoye en $ : </w:t>
      </w:r>
      <w:r>
        <w:t>615719.0</w:t>
      </w:r>
    </w:p>
    <w:p>
      <w:r>
        <w:rPr>
          <w:b/>
        </w:rPr>
        <w:t xml:space="preserve">Description : </w:t>
      </w:r>
      <w:r>
        <w:t>Ce projet aide le Bureau de l’envoyée spéciale du Secrétaire général pour le Myanmar à combler des lacunes importantes en matière de communications stratégiques. Avec l’appui du Canada, le Bureau de l’envoyée spéciale vise à créer une unité de communications stratégiques composée : 1) d’un agent des communications et des médias; 2) d’un agent des communications et d’analyse pour le Myanmar. Depuis le coup d’État militaire de février 2021, les campagnes de désinformation et de mésinformation se multiplient, ciblant les personnes déplacées à l’intérieur du pays, les réfugiés et les artisans de la paix à l’intérieur et à l’extérieur du pays. Il est essentiel que le Bureau de l’envoyée spéciale du Secrétaire général diffuse en temps opportun des communications crédibles et transparentes. Les activités du projet comprennent : 1) soutenir le Bureau de l’envoyée spéciale pour assurer que les messages communiqués aux publics cibles sont exacts et transparents; 2) faire en sorte que les reportages des médias locaux et internationaux relatent avec exactitude et de façon constructive les activités et les messages de l’envoyée spéciale.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615719.00</w:t>
      </w:r>
    </w:p>
    <w:p>
      <w:r>
        <w:rPr>
          <w:b/>
        </w:rPr>
        <w:t xml:space="preserve">Date : </w:t>
      </w:r>
      <w:r>
        <w:t>2023-03-24T00:00:00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480000.00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135719.00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