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Coordination des réponses humanitaires par BCAH (fonds collectifs en fonction des pays) - 2023-2024</w:t>
      </w:r>
    </w:p>
    <w:p/>
    <w:p>
      <w:r>
        <w:rPr>
          <w:b/>
        </w:rPr>
        <w:t xml:space="preserve">Organisme : </w:t>
      </w:r>
      <w:r>
        <w:t>Affaires Mondiales Canada</w:t>
      </w:r>
    </w:p>
    <w:p>
      <w:r>
        <w:rPr>
          <w:b/>
        </w:rPr>
        <w:t xml:space="preserve">Numero de projet : </w:t>
      </w:r>
      <w:r>
        <w:t>CA-3-P012217001</w:t>
      </w:r>
    </w:p>
    <w:p>
      <w:r>
        <w:rPr>
          <w:b/>
        </w:rPr>
        <w:t xml:space="preserve">Lieu : </w:t>
      </w:r>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2023-05-11T00:00:00 au 2024-12-31T00:00:00</w:t>
      </w:r>
    </w:p>
    <w:p>
      <w:r>
        <w:rPr>
          <w:b/>
        </w:rPr>
        <w:t xml:space="preserve">Engagement : </w:t>
      </w:r>
      <w:r>
        <w:t>37000000.00</w:t>
      </w:r>
    </w:p>
    <w:p>
      <w:r>
        <w:rPr>
          <w:b/>
        </w:rPr>
        <w:t xml:space="preserve">Total envoye en $ : </w:t>
      </w:r>
      <w:r>
        <w:t>37000000.0</w:t>
      </w:r>
    </w:p>
    <w:p>
      <w:r>
        <w:rPr>
          <w:b/>
        </w:rPr>
        <w:t xml:space="preserve">Description : </w:t>
      </w:r>
      <w:r>
        <w:t>Le Bureau de la coordination des affaires humanitaires des Nations Unies (BCAH) a pour principal mandat de superviser la coordination des réponses humanitaires internationales, en partenariat avec les acteurs nationaux et internationaux, afin d’assurer une action humanitaire plus cohérente et plus efficace. Cette subvention représente le soutien du Canada aux Fonds communs nationaux des Nations Unies en République centrafricaine, en République démocratique du Congo, en Somalie, au Sud-Soudan et au Soudan.  Avec le soutien du Canada et d’autres donateurs, le BCAH remplit son mandat par le biais d’activités qui comprennent : 1) le renforcement du leadership dans le domaine humanitaire; 2) l’établissement et le contrôle de systèmes de coordination; 3) le suivi des situations humanitaires et l’établissement de rapports connexes; 4) la défense des intérêts des personnes touchées; 5) le soutien de l’évaluation des besoins humanitaires et leur classement par ordre de priorité ainsi que de la planification stratégique; 6) la promotion des mesures de préparation aux situations d’urgence; 7) la mobilisation de fonds pour l’aide humanitaire.</w:t>
      </w:r>
    </w:p>
    <w:p>
      <w:pPr>
        <w:pStyle w:val="Heading2"/>
      </w:pPr>
      <w:r>
        <w:t>Transactions</w:t>
      </w:r>
    </w:p>
    <w:p>
      <w:r>
        <w:rPr>
          <w:b/>
        </w:rPr>
        <w:t xml:space="preserve">Date : </w:t>
      </w:r>
      <w:r>
        <w:t>2023-05-11T00:00:00</w:t>
      </w:r>
      <w:r>
        <w:rPr>
          <w:b/>
        </w:rPr>
        <w:t xml:space="preserve">Type : </w:t>
      </w:r>
      <w:r>
        <w:t>Engagement</w:t>
      </w:r>
      <w:r>
        <w:rPr>
          <w:b/>
        </w:rPr>
        <w:t xml:space="preserve"> Montant : </w:t>
      </w:r>
      <w:r>
        <w:t>37000000.00</w:t>
      </w:r>
    </w:p>
    <w:p>
      <w:r>
        <w:rPr>
          <w:b/>
        </w:rPr>
        <w:t xml:space="preserve">Date : </w:t>
      </w:r>
      <w:r>
        <w:t>2023-05-16T00:00:00</w:t>
      </w:r>
      <w:r>
        <w:rPr>
          <w:b/>
        </w:rPr>
        <w:t xml:space="preserve">Type : </w:t>
      </w:r>
      <w:r>
        <w:t>Déboursé</w:t>
      </w:r>
      <w:r>
        <w:rPr>
          <w:b/>
        </w:rPr>
        <w:t xml:space="preserve"> Montant : </w:t>
      </w:r>
      <w:r>
        <w:t>20000000.00</w:t>
      </w:r>
    </w:p>
    <w:p>
      <w:r>
        <w:rPr>
          <w:b/>
        </w:rPr>
        <w:t xml:space="preserve">Date : </w:t>
      </w:r>
      <w:r>
        <w:t>2024-04-24T00:00:00</w:t>
      </w:r>
      <w:r>
        <w:rPr>
          <w:b/>
        </w:rPr>
        <w:t xml:space="preserve">Type : </w:t>
      </w:r>
      <w:r>
        <w:t>Déboursé</w:t>
      </w:r>
      <w:r>
        <w:rPr>
          <w:b/>
        </w:rPr>
        <w:t xml:space="preserve"> Montant : </w:t>
      </w:r>
      <w:r>
        <w:t>17000000.00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