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Développement de l’infrastructure de réglementation nucléaire dans la région indo-pacifique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CA-3-P013837001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International Atomic Energy AgencyNuclear Security Fund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2024-03-12T00:00:00 au 2027-12-31T00:00:00</w:t>
      </w:r>
    </w:p>
    <w:p>
      <w:r>
        <w:rPr>
          <w:b/>
        </w:rPr>
        <w:t xml:space="preserve">Engagement : </w:t>
      </w:r>
      <w:r>
        <w:t>9466626.00</w:t>
      </w:r>
    </w:p>
    <w:p>
      <w:r>
        <w:rPr>
          <w:b/>
        </w:rPr>
        <w:t xml:space="preserve">Total envoye en $ : </w:t>
      </w:r>
      <w:r>
        <w:t>9466626.0</w:t>
      </w:r>
    </w:p>
    <w:p>
      <w:r>
        <w:rPr>
          <w:b/>
        </w:rPr>
        <w:t xml:space="preserve">Description : </w:t>
      </w:r>
      <w:r>
        <w:t>Ce projet vise à octroyer du financement à l’Agence internationale de l’énergie atomique (AIEA) pour établir ou renforcer l’infrastructure de réglementation nationale en matière de sécurité nucléaire et de sûreté radiologique dans 28 pays de la région indo-pacifique.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2024-03-12T00:00:00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9466626.00</w:t>
      </w:r>
    </w:p>
    <w:p>
      <w:r>
        <w:rPr>
          <w:b/>
        </w:rPr>
        <w:t xml:space="preserve">Date : </w:t>
      </w:r>
      <w:r>
        <w:t>2024-03-25T00:00:00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3260605.00</w:t>
      </w:r>
    </w:p>
    <w:p>
      <w:r>
        <w:rPr>
          <w:b/>
        </w:rPr>
        <w:t xml:space="preserve">Date : </w:t>
      </w:r>
      <w:r>
        <w:t>2024-07-19T00:00:00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6206021.00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