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Droits de l'enfant et participation des jeunes aux dialogues de paix en Colombie</w:t>
      </w:r>
    </w:p>
    <w:p/>
    <w:p>
      <w:r>
        <w:rPr>
          <w:b/>
        </w:rPr>
        <w:t xml:space="preserve">Organisme : </w:t>
      </w:r>
      <w:r>
        <w:t>Affaires Mondiales Canada</w:t>
      </w:r>
    </w:p>
    <w:p>
      <w:r>
        <w:rPr>
          <w:b/>
        </w:rPr>
        <w:t xml:space="preserve">Numero de projet : </w:t>
      </w:r>
      <w:r>
        <w:t>CA-3-P013918001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2024-03-01T00:00:00 au 2026-02-28T00:00:00</w:t>
      </w:r>
    </w:p>
    <w:p>
      <w:r>
        <w:rPr>
          <w:b/>
        </w:rPr>
        <w:t xml:space="preserve">Engagement : </w:t>
      </w:r>
      <w:r>
        <w:t>875556.00</w:t>
      </w:r>
    </w:p>
    <w:p>
      <w:r>
        <w:rPr>
          <w:b/>
        </w:rPr>
        <w:t xml:space="preserve">Total envoye en $ : </w:t>
      </w:r>
      <w:r>
        <w:t>875556.0</w:t>
      </w:r>
    </w:p>
    <w:p>
      <w:r>
        <w:rPr>
          <w:b/>
        </w:rPr>
        <w:t xml:space="preserve">Description : </w:t>
      </w:r>
      <w:r>
        <w:t>Ce projet vise à soutenir des activités favorisant l’inclusion de la question des enfants dans les négociations et les dialogues de paix avec les groupes armés. Il vise également à encourager les engagements précoces à mettre en œuvre des mesures concrètes pour mettre fin à toutes les violations graves commises contre les enfants en Colombie. Il soutient la conception et la mise en place du mécanisme juridique de démobilisation et de réinsertion des adolescents et des jeunes issus de groupes criminels.  Les activités de ce projet comprennent : 1) fournir une formation et une assistance technique adaptée au genre et à l’origine ethnique à l’équipe spéciale de pays (surveillance et information) dans 10 départements colombiens touchés par le conflit; 2) améliorer le système de gestion de l’information du mécanisme de surveillance et de communication de l’information de l’UNICEF; 3) fournir un soutien technique aux participants aux négociations de paix et leur donner les moyens de promouvoir les dispositions relatives aux droits de l’enfant dans ce contexte; 4) mieux faire connaître la question des enfants et des conflits armés grâce aux médias et au dialogue public; 5) faciliter la participation d’adolescents et de jeunes utilisés par les groupes armés aux négociations de paix, et inclure l’enjeu de leur protection dans les négociations avec le gouvernement de la Colombie; 6) soutenir les initiatives d’adolescents et de jeunes à risque visant à réduire la violence dans leur collectivité et à promouvoir la participation des femmes et des filles à la prise de décisions sur un pied d’égalité dans le cadre du programme sur la paix et la sécurité; 7) mettre en place des mécanismes juridiques adaptés au genre et à l’origine ethnique pour la démobilisation et la réinsertion dans les collectivités des adolescents et des jeunes issus de groupes criminels, en coopération avec les gouvernements nationaux et locaux.</w:t>
      </w:r>
    </w:p>
    <w:p>
      <w:pPr>
        <w:pStyle w:val="Heading2"/>
      </w:pPr>
      <w:r>
        <w:t>Transactions</w:t>
      </w:r>
    </w:p>
    <w:p>
      <w:r>
        <w:rPr>
          <w:b/>
        </w:rPr>
        <w:t xml:space="preserve">Date : </w:t>
      </w:r>
      <w:r>
        <w:t>2024-03-01T00:00:00</w:t>
      </w:r>
      <w:r>
        <w:rPr>
          <w:b/>
        </w:rPr>
        <w:t xml:space="preserve">Type : </w:t>
      </w:r>
      <w:r>
        <w:t>Engagement</w:t>
      </w:r>
      <w:r>
        <w:rPr>
          <w:b/>
        </w:rPr>
        <w:t xml:space="preserve"> Montant : </w:t>
      </w:r>
      <w:r>
        <w:t>875556.00</w:t>
      </w:r>
    </w:p>
    <w:p>
      <w:r>
        <w:rPr>
          <w:b/>
        </w:rPr>
        <w:t xml:space="preserve">Date : </w:t>
      </w:r>
      <w:r>
        <w:t>2024-03-11T00:00:00</w:t>
      </w:r>
      <w:r>
        <w:rPr>
          <w:b/>
        </w:rPr>
        <w:t xml:space="preserve">Type : </w:t>
      </w:r>
      <w:r>
        <w:t>Déboursé</w:t>
      </w:r>
      <w:r>
        <w:rPr>
          <w:b/>
        </w:rPr>
        <w:t xml:space="preserve"> Montant : </w:t>
      </w:r>
      <w:r>
        <w:t>437778.00</w:t>
      </w:r>
    </w:p>
    <w:p>
      <w:r>
        <w:rPr>
          <w:b/>
        </w:rPr>
        <w:t xml:space="preserve">Date : </w:t>
      </w:r>
      <w:r>
        <w:t>2025-01-07T00:00:00</w:t>
      </w:r>
      <w:r>
        <w:rPr>
          <w:b/>
        </w:rPr>
        <w:t xml:space="preserve">Type : </w:t>
      </w:r>
      <w:r>
        <w:t>Déboursé</w:t>
      </w:r>
      <w:r>
        <w:rPr>
          <w:b/>
        </w:rPr>
        <w:t xml:space="preserve"> Montant : </w:t>
      </w:r>
      <w:r>
        <w:t>437778.00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