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Examen de l’action contre les mines – 2024 à 2026</w:t>
      </w:r>
    </w:p>
    <w:p/>
    <w:p>
      <w:r>
        <w:rPr>
          <w:b/>
        </w:rPr>
        <w:t xml:space="preserve">Organisme : </w:t>
      </w:r>
      <w:r>
        <w:t>Affaires Mondiales Canada</w:t>
      </w:r>
    </w:p>
    <w:p>
      <w:r>
        <w:rPr>
          <w:b/>
        </w:rPr>
        <w:t xml:space="preserve">Numero de projet : </w:t>
      </w:r>
      <w:r>
        <w:t>CA-3-P013917001</w:t>
      </w:r>
    </w:p>
    <w:p>
      <w:r>
        <w:rPr>
          <w:b/>
        </w:rPr>
        <w:t xml:space="preserve">Lieu : </w:t>
      </w:r>
      <w:r>
        <w:t>Afrique, régional, Amérique, régional, Asie, régional, Océanie, régional, Europe, régional</w:t>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2024-03-07T00:00:00 au 2026-12-31T00:00:00</w:t>
      </w:r>
    </w:p>
    <w:p>
      <w:r>
        <w:rPr>
          <w:b/>
        </w:rPr>
        <w:t xml:space="preserve">Engagement : </w:t>
      </w:r>
      <w:r>
        <w:t>700000.00</w:t>
      </w:r>
    </w:p>
    <w:p>
      <w:r>
        <w:rPr>
          <w:b/>
        </w:rPr>
        <w:t xml:space="preserve">Total envoye en $ : </w:t>
      </w:r>
      <w:r>
        <w:t>300000.0</w:t>
      </w:r>
    </w:p>
    <w:p>
      <w:r>
        <w:rPr>
          <w:b/>
        </w:rPr>
        <w:t xml:space="preserve">Description : </w:t>
      </w:r>
      <w:r>
        <w:t>Ce projet vise à favoriser le respect des obligations relatives aux activités d’enquête et de dépollution prévues par la Convention sur l’interdiction des mines antipersonnel (CIMAP) et la Convention sur les armes à sous-munitions (CASM). Les activités de ce projet comprennent: 1) rédiger, publier et diffuser 4 rapports annuels d’enquête sur l’action contre les mines, notamment les rapports « Déminage » et « Dépollution des restes d’armes à sous-munitions », ainsi qu’effectuer les recherches connexes. Parmi les documents figurent aussi le guide du plan d’action de la CIMAP et du suivi des activités d’enquête et de dépollution, de même que le guide analogue de la CASM; 2) rédiger des commentaires et des critiques sur les demandes de prolongation des délais fixés à l’article 5 de la CIMAP et à l’article 4 de la CASM à l’intention du comité responsable de l’article 5 de la CIMAP et du groupe d’analyse de l’article 4 de la CASM; 3) fournir une expertise dans le cadre de discussions externes relatives à l’enquête et à la dépollution des mines antipersonnel ou des restes d’armes à sous-munitions; 4) surveiller et évaluer le rendement des programmes d’action contre les mines des pouvoirs publics en matière d’égalité des genres et de diversité.</w:t>
      </w:r>
    </w:p>
    <w:p>
      <w:pPr>
        <w:pStyle w:val="Heading2"/>
      </w:pPr>
      <w:r>
        <w:t>Transactions</w:t>
      </w:r>
    </w:p>
    <w:p>
      <w:r>
        <w:rPr>
          <w:b/>
        </w:rPr>
        <w:t xml:space="preserve">Date : </w:t>
      </w:r>
      <w:r>
        <w:t>2024-03-07T00:00:00</w:t>
      </w:r>
      <w:r>
        <w:rPr>
          <w:b/>
        </w:rPr>
        <w:t xml:space="preserve">Type : </w:t>
      </w:r>
      <w:r>
        <w:t>Engagement</w:t>
      </w:r>
      <w:r>
        <w:rPr>
          <w:b/>
        </w:rPr>
        <w:t xml:space="preserve"> Montant : </w:t>
      </w:r>
      <w:r>
        <w:t>700000.00</w:t>
      </w:r>
    </w:p>
    <w:p>
      <w:r>
        <w:rPr>
          <w:b/>
        </w:rPr>
        <w:t xml:space="preserve">Date : </w:t>
      </w:r>
      <w:r>
        <w:t>2024-03-18T00:00:00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