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Facilité de résilience Canada-Caraïbes</w:t>
      </w:r>
    </w:p>
    <w:p/>
    <w:p>
      <w:r>
        <w:rPr>
          <w:b/>
        </w:rPr>
        <w:t xml:space="preserve">Organisme : </w:t>
      </w:r>
      <w:r>
        <w:t>Affaires Mondiales Canada</w:t>
      </w:r>
    </w:p>
    <w:p>
      <w:r>
        <w:rPr>
          <w:b/>
        </w:rPr>
        <w:t xml:space="preserve">Numero de projet : </w:t>
      </w:r>
      <w:r>
        <w:t>CA-3-P006224001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2018-09-20T00:00:00 au 2025-02-28T00:00:00</w:t>
      </w:r>
    </w:p>
    <w:p>
      <w:r>
        <w:rPr>
          <w:b/>
        </w:rPr>
        <w:t xml:space="preserve">Engagement : </w:t>
      </w:r>
      <w:r>
        <w:t>20000000.00</w:t>
      </w:r>
    </w:p>
    <w:p>
      <w:r>
        <w:rPr>
          <w:b/>
        </w:rPr>
        <w:t xml:space="preserve">Total envoye en $ : </w:t>
      </w:r>
      <w:r>
        <w:t>20000000.0</w:t>
      </w:r>
    </w:p>
    <w:p>
      <w:r>
        <w:rPr>
          <w:b/>
        </w:rPr>
        <w:t xml:space="preserve">Description : </w:t>
      </w:r>
      <w:r>
        <w:t>Le mécanisme de résilience Canada-Caraïbes soutient les territoires caribéens - dont Antigua-et-Barbuda, le Belize, la Dominique, la Grenade, la Guyane, la Jamaïque, St. Lucie, St. Vincent et les Grenadines et le Suriname - afin de renforcer la résilience à long terme et assurer une meilleure reconstruction en cas de catastrophe naturelle. Le projet vise à mobiliser “une réponse rapide” multidisciplinaire composée d'experts locaux et internationaux afin d’apporter une assistance technique et en capacité de reconstruire et de réparer dans des domaines divers tels que la gestion des risques et des sinistres, l’ingénierie, la gestion environnementale, la sauvegarde environnementale et la protection sociale, l'égalité des genres, l’inclusion des personnes handicapées et ou à mobilité réduite, l’approvisionnement et la gestion de fonds publics. Ceci soutient également les gouvernements à identifier, à accéder et à mobiliser les fonds d’urgences en temps opportun avec l’objectif d’initier les opérations de réparations et de mise en place de la gestion des fonds publics, des lignes directrices et  des protocoles pouvant être déclenchés à la suite à de catastrophes naturelles. Les activités du projet comprennent : 1) le développement de la préparation et de l'évaluation des capacités de réparation en ce qui concerne les secteurs les plus touchés par les catastrophes, incluant l'habitation et les transports ; 2) l’apport d’une assistance technique et de la formation dans les zones critiques, pour la réparation et la reconstruction grâce à des projets de gestion et d'approvisionnement ; 3) la préparation de lignes directrices pour simplifier les protocoles de budgétisation post-catastrophes.</w:t>
      </w:r>
    </w:p>
    <w:p>
      <w:pPr>
        <w:pStyle w:val="Heading2"/>
      </w:pPr>
      <w:r>
        <w:t>Transactions</w:t>
      </w:r>
    </w:p>
    <w:p>
      <w:r>
        <w:rPr>
          <w:b/>
        </w:rPr>
        <w:t xml:space="preserve">Date : </w:t>
      </w:r>
      <w:r>
        <w:t>2018-09-20T00:00:00</w:t>
      </w:r>
      <w:r>
        <w:rPr>
          <w:b/>
        </w:rPr>
        <w:t xml:space="preserve">Type : </w:t>
      </w:r>
      <w:r>
        <w:t>Engagement</w:t>
      </w:r>
      <w:r>
        <w:rPr>
          <w:b/>
        </w:rPr>
        <w:t xml:space="preserve"> Montant : </w:t>
      </w:r>
      <w:r>
        <w:t>20000000.00</w:t>
      </w:r>
    </w:p>
    <w:p>
      <w:r>
        <w:rPr>
          <w:b/>
        </w:rPr>
        <w:t xml:space="preserve">Date : </w:t>
      </w:r>
      <w:r>
        <w:t>2019-03-27T00:00:00</w:t>
      </w:r>
      <w:r>
        <w:rPr>
          <w:b/>
        </w:rPr>
        <w:t xml:space="preserve">Type : </w:t>
      </w:r>
      <w:r>
        <w:t>Déboursé</w:t>
      </w:r>
      <w:r>
        <w:rPr>
          <w:b/>
        </w:rPr>
        <w:t xml:space="preserve"> Montant : </w:t>
      </w:r>
      <w:r>
        <w:t>4000000.00</w:t>
      </w:r>
    </w:p>
    <w:p>
      <w:r>
        <w:rPr>
          <w:b/>
        </w:rPr>
        <w:t xml:space="preserve">Date : </w:t>
      </w:r>
      <w:r>
        <w:t>2019-11-12T00:00:00</w:t>
      </w:r>
      <w:r>
        <w:rPr>
          <w:b/>
        </w:rPr>
        <w:t xml:space="preserve">Type : </w:t>
      </w:r>
      <w:r>
        <w:t>Déboursé</w:t>
      </w:r>
      <w:r>
        <w:rPr>
          <w:b/>
        </w:rPr>
        <w:t xml:space="preserve"> Montant : </w:t>
      </w:r>
      <w:r>
        <w:t>4000000.00</w:t>
      </w:r>
    </w:p>
    <w:p>
      <w:r>
        <w:rPr>
          <w:b/>
        </w:rPr>
        <w:t xml:space="preserve">Date : </w:t>
      </w:r>
      <w:r>
        <w:t>2021-03-08T00:00:00</w:t>
      </w:r>
      <w:r>
        <w:rPr>
          <w:b/>
        </w:rPr>
        <w:t xml:space="preserve">Type : </w:t>
      </w:r>
      <w:r>
        <w:t>Déboursé</w:t>
      </w:r>
      <w:r>
        <w:rPr>
          <w:b/>
        </w:rPr>
        <w:t xml:space="preserve"> Montant : </w:t>
      </w:r>
      <w:r>
        <w:t>5000000.00</w:t>
      </w:r>
    </w:p>
    <w:p>
      <w:r>
        <w:rPr>
          <w:b/>
        </w:rPr>
        <w:t xml:space="preserve">Date : </w:t>
      </w:r>
      <w:r>
        <w:t>2021-12-16T00:00:00</w:t>
      </w:r>
      <w:r>
        <w:rPr>
          <w:b/>
        </w:rPr>
        <w:t xml:space="preserve">Type : </w:t>
      </w:r>
      <w:r>
        <w:t>Déboursé</w:t>
      </w:r>
      <w:r>
        <w:rPr>
          <w:b/>
        </w:rPr>
        <w:t xml:space="preserve"> Montant : </w:t>
      </w:r>
      <w:r>
        <w:t>3000000.00</w:t>
      </w:r>
    </w:p>
    <w:p>
      <w:r>
        <w:rPr>
          <w:b/>
        </w:rPr>
        <w:t xml:space="preserve">Date : </w:t>
      </w:r>
      <w:r>
        <w:t>2021-12-16T00:00:00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