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 des Nations Unis pour l'enfance (UNICEF) - Appui institutionnel 2022 à 2023</w:t>
      </w:r>
    </w:p>
    <w:p/>
    <w:p>
      <w:r>
        <w:rPr>
          <w:b/>
        </w:rPr>
        <w:t xml:space="preserve">Organisme : </w:t>
      </w:r>
      <w:r>
        <w:t>Affaires Mondiales Canada</w:t>
      </w:r>
    </w:p>
    <w:p>
      <w:r>
        <w:rPr>
          <w:b/>
        </w:rPr>
        <w:t xml:space="preserve">Numero de projet : </w:t>
      </w:r>
      <w:r>
        <w:t>CA-3-P009574001</w:t>
      </w:r>
    </w:p>
    <w:p>
      <w:r>
        <w:rPr>
          <w:b/>
        </w:rPr>
        <w:t xml:space="preserve">Lieu : </w:t>
      </w:r>
      <w:r>
        <w:t>Afrique, régional, Amérique, régional, Asie, régional, Océanie, régional, Europe, régional</w:t>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2022-11-23T00:00:00 au 2023-03-31T00:00:00</w:t>
      </w:r>
    </w:p>
    <w:p>
      <w:r>
        <w:rPr>
          <w:b/>
        </w:rPr>
        <w:t xml:space="preserve">Engagement : </w:t>
      </w:r>
      <w:r>
        <w:t>16200000.00</w:t>
      </w:r>
    </w:p>
    <w:p>
      <w:r>
        <w:rPr>
          <w:b/>
        </w:rPr>
        <w:t xml:space="preserve">Total envoye en $ : </w:t>
      </w:r>
      <w:r>
        <w:t>16200000.0</w:t>
      </w:r>
    </w:p>
    <w:p>
      <w:r>
        <w:rPr>
          <w:b/>
        </w:rPr>
        <w:t xml:space="preserve">Description : </w:t>
      </w:r>
      <w:r>
        <w:t>Cette subvention constitue l'appui institutionnel du Canada au Fonds des Nations Unies pour l'enfance (UNICEF). L’UNICEF utilise ces fonds, de même que les fonds d’autres donateurs, pour remplir son mandat. Guidé par la Convention des Nations Unies relative aux droits de l'enfant, l'UNICEF soutient les droits des enfants afin d’aider à combler leurs besoins fondamentaux et à élargir les possibilités afin qu’ils puissent atteindre leur plein potentiel. L’UNICEF œuvre pour améliorer les conditions sociales et économiques des enfants en faisant en sorte que tous aient accès à des soins de santé, à de l’eau potable, à de la nourriture et à l’éducation. L’organisme veille aussi à ce que les enfants soient protégés de la violence et des mauvais traitements, et qu’ils reçoivent de l’aide en cas de catastrophes. Par son appui à l’UNICEF, le Canada aide à assurer la survie de la Politique d’aide internationale féministe du Canada. Cette politique aidera les personnes les plus pauvres et les plus vulnérables, appuiera les États fragiles et étayera les efforts du Canada à l’échelle internationale pour atteindre les Objectifs de développement durable.</w:t>
      </w:r>
    </w:p>
    <w:p>
      <w:pPr>
        <w:pStyle w:val="Heading2"/>
      </w:pPr>
      <w:r>
        <w:t>Transactions</w:t>
      </w:r>
    </w:p>
    <w:p>
      <w:r>
        <w:rPr>
          <w:b/>
        </w:rPr>
        <w:t xml:space="preserve">Date : </w:t>
      </w:r>
      <w:r>
        <w:t>2022-11-23T00:00:00</w:t>
      </w:r>
      <w:r>
        <w:rPr>
          <w:b/>
        </w:rPr>
        <w:t xml:space="preserve">Type : </w:t>
      </w:r>
      <w:r>
        <w:t>Engagement</w:t>
      </w:r>
      <w:r>
        <w:rPr>
          <w:b/>
        </w:rPr>
        <w:t xml:space="preserve"> Montant : </w:t>
      </w:r>
      <w:r>
        <w:t>16200000.00</w:t>
      </w:r>
    </w:p>
    <w:p>
      <w:r>
        <w:rPr>
          <w:b/>
        </w:rPr>
        <w:t xml:space="preserve">Date : </w:t>
      </w:r>
      <w:r>
        <w:t>2022-11-25T00:00:00</w:t>
      </w:r>
      <w:r>
        <w:rPr>
          <w:b/>
        </w:rPr>
        <w:t xml:space="preserve">Type : </w:t>
      </w:r>
      <w:r>
        <w:t>Déboursé</w:t>
      </w:r>
      <w:r>
        <w:rPr>
          <w:b/>
        </w:rPr>
        <w:t xml:space="preserve"> Montant : </w:t>
      </w:r>
      <w:r>
        <w:t>16200000.00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