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Fonds Genre, diversité et inclusion en Amérique latine et dans les Caraïbes de BlueOrchard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CA-3-P011285001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BlueOrchard LAC GDI Fund </w:t>
      </w:r>
    </w:p>
    <w:p>
      <w:r>
        <w:rPr>
          <w:b/>
        </w:rPr>
        <w:t xml:space="preserve">Type de financement : </w:t>
      </w:r>
      <w:r>
        <w:t>Don remboursable</w:t>
      </w:r>
    </w:p>
    <w:p>
      <w:r>
        <w:rPr>
          <w:b/>
        </w:rPr>
        <w:t xml:space="preserve">Dates : </w:t>
      </w:r>
      <w:r>
        <w:t>2023-03-21T00:00:00 au 2033-06-30T00:00:00</w:t>
      </w:r>
    </w:p>
    <w:p>
      <w:r>
        <w:rPr>
          <w:b/>
        </w:rPr>
        <w:t xml:space="preserve">Engagement : </w:t>
      </w:r>
      <w:r>
        <w:t>47500000.00</w:t>
      </w:r>
    </w:p>
    <w:p>
      <w:r>
        <w:rPr>
          <w:b/>
        </w:rPr>
        <w:t xml:space="preserve">Total envoye en $ : </w:t>
      </w:r>
      <w:r>
        <w:t>47500000.0</w:t>
      </w:r>
    </w:p>
    <w:p>
      <w:r>
        <w:rPr>
          <w:b/>
        </w:rPr>
        <w:t xml:space="preserve">Description : </w:t>
      </w:r>
      <w:r>
        <w:t>Le Fonds Genre, diversité et inclusion en Amérique latine et dans les Caraïbes de BlueOrchard vise à accroître la résilience financière des femmes, des populations autochtones et des personnes d’ascendance africaine et à favoriser leur bien-être matériel et la croissance de leurs entreprises.  Pour ce faire, le Fonds accorde des prêts commerciaux à des institutions financières ou de microfinance réparties à travers l’Amérique latine et les Caraïbes.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47500000.00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-47500000.00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23750000.00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23750000.00</w:t>
      </w:r>
    </w:p>
    <w:p>
      <w:r>
        <w:rPr>
          <w:b/>
        </w:rPr>
        <w:t xml:space="preserve">Date : </w:t>
      </w:r>
      <w:r>
        <w:t>2023-03-30T00:00:00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47500000.00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