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Gestion de la santé menstruelle des adolescentes et les femmes vulnérables des bidonvilles de Dhaka</w:t>
      </w:r>
    </w:p>
    <w:p/>
    <w:p>
      <w:r>
        <w:rPr>
          <w:b/>
        </w:rPr>
        <w:t xml:space="preserve">Organisme : </w:t>
      </w:r>
      <w:r>
        <w:t>Affaires Mondiales Canada</w:t>
      </w:r>
    </w:p>
    <w:p>
      <w:r>
        <w:rPr>
          <w:b/>
        </w:rPr>
        <w:t xml:space="preserve">Numero de projet : </w:t>
      </w:r>
      <w:r>
        <w:t>CA-3-P012697001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2023-03-23T00:00:00 au 2023-08-31T00:00:00</w:t>
      </w:r>
    </w:p>
    <w:p>
      <w:r>
        <w:rPr>
          <w:b/>
        </w:rPr>
        <w:t xml:space="preserve">Engagement : </w:t>
      </w:r>
      <w:r>
        <w:t>170052.00</w:t>
      </w:r>
    </w:p>
    <w:p>
      <w:r>
        <w:rPr>
          <w:b/>
        </w:rPr>
        <w:t xml:space="preserve">Total envoye en $ : </w:t>
      </w:r>
      <w:r>
        <w:t>170052.0</w:t>
      </w:r>
    </w:p>
    <w:p>
      <w:r>
        <w:rPr>
          <w:b/>
        </w:rPr>
        <w:t xml:space="preserve">Description : </w:t>
      </w:r>
      <w:r>
        <w:t>Ce projet vise à combler un déficit de financement lié à la composante « santé menstruelle » d’un programme pilote intitulé « Améliorer la sécurité alimentaire et nutritionnelle et la santé des citadins vulnérables au Bangladesh ». Le Programme alimentaire mondial (PAM), l’Organisation des Nations unies pour l’alimentation et l’agriculture (FAO) et le Fonds des Nations unies pour la population (UNFPA) mettent en œuvre ce programme. Cette contribution de 170 052 dollars soutient la composante de gestion de la santé menstruelle mise en œuvre par l’UNFPA.  Elle permet de continuer à soutenir la gestion de la santé menstruelle pour les adolescentes et les femmes vulnérables d’un bidonville de Dhaka.  Les activités du projet comprennent : 1) la fourniture et la distribution de trois types différents de serviettes hygiéniques à 3 300 filles et femmes par l’intermédiaire de 20 magasins locaux; 2) la sensibilisation des intervenants à la nécessité de régler les problèmes liés à la santé menstruelle; 3) la diffusion des leçons retenues.</w:t>
      </w:r>
    </w:p>
    <w:p>
      <w:pPr>
        <w:pStyle w:val="Heading2"/>
      </w:pPr>
      <w:r>
        <w:t>Transactions</w:t>
      </w:r>
    </w:p>
    <w:p>
      <w:r>
        <w:rPr>
          <w:b/>
        </w:rPr>
        <w:t xml:space="preserve">Date : </w:t>
      </w:r>
      <w:r>
        <w:t>2023-03-23T00:00:00</w:t>
      </w:r>
      <w:r>
        <w:rPr>
          <w:b/>
        </w:rPr>
        <w:t xml:space="preserve">Type : </w:t>
      </w:r>
      <w:r>
        <w:t>Engagement</w:t>
      </w:r>
      <w:r>
        <w:rPr>
          <w:b/>
        </w:rPr>
        <w:t xml:space="preserve"> Montant : </w:t>
      </w:r>
      <w:r>
        <w:t>170052.00</w:t>
      </w:r>
    </w:p>
    <w:p>
      <w:r>
        <w:rPr>
          <w:b/>
        </w:rPr>
        <w:t xml:space="preserve">Date : </w:t>
      </w:r>
      <w:r>
        <w:t>2023-03-24T00:00:00</w:t>
      </w:r>
      <w:r>
        <w:rPr>
          <w:b/>
        </w:rPr>
        <w:t xml:space="preserve">Type : </w:t>
      </w:r>
      <w:r>
        <w:t>Déboursé</w:t>
      </w:r>
      <w:r>
        <w:rPr>
          <w:b/>
        </w:rPr>
        <w:t xml:space="preserve"> Montant : </w:t>
      </w:r>
      <w:r>
        <w:t>170052.00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