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Gouvernance locale sensible à l’égalité des sexes par des Conseils consultatifs des femmes - Phase 2</w:t>
      </w:r>
    </w:p>
    <w:p/>
    <w:p>
      <w:r>
        <w:rPr>
          <w:b/>
        </w:rPr>
        <w:t xml:space="preserve">Organisme : </w:t>
      </w:r>
      <w:r>
        <w:t>Affaires Mondiales Canada</w:t>
      </w:r>
    </w:p>
    <w:p>
      <w:r>
        <w:rPr>
          <w:b/>
        </w:rPr>
        <w:t xml:space="preserve">Numero de projet : </w:t>
      </w:r>
      <w:r>
        <w:t>CA-3-P013013001</w:t>
      </w:r>
    </w:p>
    <w:p>
      <w:r>
        <w:rPr>
          <w:b/>
        </w:rPr>
        <w:t xml:space="preserve">Lieu : </w:t>
      </w:r>
      <w:r/>
    </w:p>
    <w:p>
      <w:r>
        <w:rPr>
          <w:b/>
        </w:rPr>
        <w:t xml:space="preserve">Agence executive partenaire : </w:t>
      </w:r>
      <w:r>
        <w:t xml:space="preserve">National Democratic Institute </w:t>
      </w:r>
    </w:p>
    <w:p>
      <w:r>
        <w:rPr>
          <w:b/>
        </w:rPr>
        <w:t xml:space="preserve">Type de financement : </w:t>
      </w:r>
      <w:r>
        <w:t>Don hors réorganisation de la dette (y compris quasi-dons)</w:t>
      </w:r>
    </w:p>
    <w:p>
      <w:r>
        <w:rPr>
          <w:b/>
        </w:rPr>
        <w:t xml:space="preserve">Dates : </w:t>
      </w:r>
      <w:r>
        <w:t>2024-03-19T00:00:00 au 2027-12-31T00:00:00</w:t>
      </w:r>
    </w:p>
    <w:p>
      <w:r>
        <w:rPr>
          <w:b/>
        </w:rPr>
        <w:t xml:space="preserve">Engagement : </w:t>
      </w:r>
      <w:r>
        <w:t>5000000.00</w:t>
      </w:r>
    </w:p>
    <w:p>
      <w:r>
        <w:rPr>
          <w:b/>
        </w:rPr>
        <w:t xml:space="preserve">Total envoye en $ : </w:t>
      </w:r>
      <w:r>
        <w:t>1958906.27</w:t>
      </w:r>
    </w:p>
    <w:p>
      <w:r>
        <w:rPr>
          <w:b/>
        </w:rPr>
        <w:t xml:space="preserve">Description : </w:t>
      </w:r>
      <w:r>
        <w:t>Le projet vise à améliorer la prise de décision tenant compte de la dimension de genre dans les institutions et processus politiques. Le projet vise également à renforcer le mouvement des femmes en Irak en donnant des moyens d'action aux Conseils consultatifs des femmes (CCF) dans cinq gouvernorats irakiens. Il cherche à accroître la capacité des femmes au sein de ces CCF à créer des initiatives basées sur des preuves répondant aux besoins identifiés par les communautés aux niveaux local, provincial et national, tout en facilitant les liens avec les décideurs clés et les alliés masculins afin d'établir la confiance et de s'assurer que les CCF peuvent effectivement influencer la prise de décision. Des femmes plus expérimentées dans le domaine du plaidoyer formeront également un comité consultatif qui offrira un soutien sous forme de mentorat aux nouveaux membres des CCF. Le projet vise également à fournir une formation pour renforcer les compétences des participants en matière de leadership, de coordination et de recherche de consensus. Cette approche s'appuie sur une première phase réussie où le National Democratic Institute (NDI) a développé et établi le modèle CCF dans les 5 gouvernorats libérés de Daesh.</w:t>
      </w:r>
    </w:p>
    <w:p>
      <w:pPr>
        <w:pStyle w:val="Heading2"/>
      </w:pPr>
      <w:r>
        <w:t>Transactions</w:t>
      </w:r>
    </w:p>
    <w:p>
      <w:r>
        <w:rPr>
          <w:b/>
        </w:rPr>
        <w:t xml:space="preserve">Date : </w:t>
      </w:r>
      <w:r>
        <w:t>2024-03-19T00:00:00</w:t>
      </w:r>
      <w:r>
        <w:rPr>
          <w:b/>
        </w:rPr>
        <w:t xml:space="preserve">Type : </w:t>
      </w:r>
      <w:r>
        <w:t>Engagement</w:t>
      </w:r>
      <w:r>
        <w:rPr>
          <w:b/>
        </w:rPr>
        <w:t xml:space="preserve"> Montant : </w:t>
      </w:r>
      <w:r>
        <w:t>5000000.00</w:t>
      </w:r>
    </w:p>
    <w:p>
      <w:r>
        <w:rPr>
          <w:b/>
        </w:rPr>
        <w:t xml:space="preserve">Date : </w:t>
      </w:r>
      <w:r>
        <w:t>2024-03-27T00:00:00</w:t>
      </w:r>
      <w:r>
        <w:rPr>
          <w:b/>
        </w:rPr>
        <w:t xml:space="preserve">Type : </w:t>
      </w:r>
      <w:r>
        <w:t>Déboursé</w:t>
      </w:r>
      <w:r>
        <w:rPr>
          <w:b/>
        </w:rPr>
        <w:t xml:space="preserve"> Montant : </w:t>
      </w:r>
      <w:r>
        <w:t>750000.00</w:t>
      </w:r>
    </w:p>
    <w:p>
      <w:r>
        <w:rPr>
          <w:b/>
        </w:rPr>
        <w:t xml:space="preserve">Date : </w:t>
      </w:r>
      <w:r>
        <w:t>2024-12-09T00:00:00</w:t>
      </w:r>
      <w:r>
        <w:rPr>
          <w:b/>
        </w:rPr>
        <w:t xml:space="preserve">Type : </w:t>
      </w:r>
      <w:r>
        <w:t>Déboursé</w:t>
      </w:r>
      <w:r>
        <w:rPr>
          <w:b/>
        </w:rPr>
        <w:t xml:space="preserve"> Montant : </w:t>
      </w:r>
      <w:r>
        <w:t>1208906.27</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