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internationale pour la transparence de l'aide - appui institutionnel 2024 à 2028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CA-3-P013834001</w:t>
      </w:r>
    </w:p>
    <w:p>
      <w:r>
        <w:rPr>
          <w:b/>
        </w:rPr>
        <w:t xml:space="preserve">Lieu : </w:t>
      </w:r>
      <w:r>
        <w:t>Afrique, régional, Amérique,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PNUD - Programme des Nations Unies pour le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2024-03-22T00:00:00 au 2028-12-31T00:00:00</w:t>
      </w:r>
    </w:p>
    <w:p>
      <w:r>
        <w:rPr>
          <w:b/>
        </w:rPr>
        <w:t xml:space="preserve">Engagement : </w:t>
      </w:r>
      <w:r>
        <w:t>625000.00</w:t>
      </w:r>
    </w:p>
    <w:p>
      <w:r>
        <w:rPr>
          <w:b/>
        </w:rPr>
        <w:t xml:space="preserve">Total envoye en $ : </w:t>
      </w:r>
      <w:r>
        <w:t>250000.0</w:t>
      </w:r>
    </w:p>
    <w:p>
      <w:r>
        <w:rPr>
          <w:b/>
        </w:rPr>
        <w:t xml:space="preserve">Description : </w:t>
      </w:r>
      <w:r>
        <w:t>Cette subvention représente le soutien institutionnel du Canada à l’Initiative internationale pour la transparence de l’aide (IITA). L’IITA utilise les contributions de ses membres pour réaliser son mandat : faciliter l’accès, l’utilisation et la compréhension des informations sur les dépenses d’aide internationale. Elle vise à assurer que les pays donateurs, les gouvernements des pays en développement et les organisations non-gouvernementales publient plus rapidement des renseignements complets et prévisionnels sur l’aide internationale et ce, dans une une norme commune de données ouvertes.  Les responsabilités du Secrétariat de l’IITA incluent : 1) tenir à jour le Registre de l’IIAT, son site Web et ses outils; 2) faciliter les discussions techniques liées à la norme de l’IITA, de même qu’à la publication et à l’utilisation des données; 3) évaluer les progrès relatifs aux données ouvertes sur l’aide; 4) offrir un soutien technique aux éditeur et utilisateurs de données.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625000.00</w:t>
      </w:r>
    </w:p>
    <w:p>
      <w:r>
        <w:rPr>
          <w:b/>
        </w:rPr>
        <w:t xml:space="preserve">Date : </w:t>
      </w:r>
      <w:r>
        <w:t>2024-03-25T00:00:00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125000.00</w:t>
      </w:r>
    </w:p>
    <w:p>
      <w:r>
        <w:rPr>
          <w:b/>
        </w:rPr>
        <w:t xml:space="preserve">Date : </w:t>
      </w:r>
      <w:r>
        <w:t>2025-01-29T00:00:00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125000.00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