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pour accélérer l'accès Phase II (AAI 2.0)</w:t>
      </w:r>
    </w:p>
    <w:p/>
    <w:p>
      <w:r>
        <w:rPr>
          <w:b/>
        </w:rPr>
        <w:t xml:space="preserve">Organisme : </w:t>
      </w:r>
      <w:r>
        <w:t>Affaires Mondiales Canada</w:t>
      </w:r>
    </w:p>
    <w:p>
      <w:r>
        <w:rPr>
          <w:b/>
        </w:rPr>
        <w:t xml:space="preserve">Numero de projet : </w:t>
      </w:r>
      <w:r>
        <w:t>CA-3-P010077001</w:t>
      </w:r>
    </w:p>
    <w:p>
      <w:r>
        <w:rPr>
          <w:b/>
        </w:rPr>
        <w:t xml:space="preserve">Lieu : </w:t>
      </w:r>
      <w:r/>
    </w:p>
    <w:p>
      <w:r>
        <w:rPr>
          <w:b/>
        </w:rPr>
        <w:t xml:space="preserve">Agence executive partenaire : </w:t>
      </w:r>
      <w:r>
        <w:t xml:space="preserve">Gouvernement de la Jordanie </w:t>
      </w:r>
    </w:p>
    <w:p>
      <w:r>
        <w:rPr>
          <w:b/>
        </w:rPr>
        <w:t xml:space="preserve">Type de financement : </w:t>
      </w:r>
      <w:r>
        <w:t>Don hors réorganisation de la dette (y compris quasi-dons)</w:t>
      </w:r>
    </w:p>
    <w:p>
      <w:r>
        <w:rPr>
          <w:b/>
        </w:rPr>
        <w:t xml:space="preserve">Dates : </w:t>
      </w:r>
      <w:r>
        <w:t>2021-03-31T00:00:00 au 2023-08-31T00:00:00</w:t>
      </w:r>
    </w:p>
    <w:p>
      <w:r>
        <w:rPr>
          <w:b/>
        </w:rPr>
        <w:t xml:space="preserve">Engagement : </w:t>
      </w:r>
      <w:r>
        <w:t>5000000.00</w:t>
      </w:r>
    </w:p>
    <w:p>
      <w:r>
        <w:rPr>
          <w:b/>
        </w:rPr>
        <w:t xml:space="preserve">Total envoye en $ : </w:t>
      </w:r>
      <w:r>
        <w:t>5000000.0</w:t>
      </w:r>
    </w:p>
    <w:p>
      <w:r>
        <w:rPr>
          <w:b/>
        </w:rPr>
        <w:t xml:space="preserve">Description : </w:t>
      </w:r>
      <w:r>
        <w:t>Ce projet soutient le ministère jordanien de l’Éducation (ME) pour veiller à ce que toutes les filles et tous les garçons (y compris les enfants réfugiés, les enfants handicapés et les enfants non scolarisés) aient accès à une éducation de qualité en Jordanie, quelle que soit leur nationalité. Cette éducation favorise l’acquisition d’aptitudes à la vie quotidienne, l’amélioration des résultats d’apprentissage et la préparation au travail. Ce projet s’appuie sur la première phase de l’Initiative d’accélération de l’accès (AAI), qui a aidé le ME à offrir une éducation formelle dans les écoles publiques jordaniennes à plus de 140 000 enfants réfugiés syriens. Dans le cadre de la deuxième phase de l’AAI, le ME élargit ses activités de sensibilisation pour offrir des possibilités d’éducation formelle et non formelle à plus de 200 000 enfants, y compris des enfants syriens et réfugiés d’autres nationalités, des enfants handicapés, des enfants non scolarisés et des enfants jordaniens vulnérables. Les activités de ce projet comprennent : 1) couvrir les frais de scolarité et les manuels scolaires pour tous les enfants réfugiés en Jordanie; 2) offrir une formation aux enseignants et aux éducateurs sur l’éducation inclusive et sensible au genre, la protection de l’enfance et les approches d’apprentissage mixte; 3) répondre aux besoins des enfants les plus vulnérables, y compris les enfants handicapés, en équipant les centres d’éducation non formelle et les écoles de mobilier et d’équipement adéquats; 4) appuyer les approches communautaires visant à augmenter les taux d’inscription et à prévenir le décrochage dans les communautés vulnérables.  Comme pour tous les projets financés conjointement, le Canada collabore avec d’autres donateurs et le gouvernement de la Jordanie pour promouvoir des systèmes nationaux efficaces, transparents et responsables, accroître la coordination et l’harmonisation des donateurs et renforcer la responsabilisation mutuelle. Ce type d’aide favorise un plus grand dialogue sur les politiques entre les donateurs, les gouvernements et les partenaires, le renforcement des efforts pour une aide ciblée efficace et l’obtention de résultats à long terme en matière de développement. Ce projet fait l’objet d’un suivi et d’une évaluation continus, en collaboration avec les autres donateurs.</w:t>
      </w:r>
    </w:p>
    <w:p>
      <w:pPr>
        <w:pStyle w:val="Heading2"/>
      </w:pPr>
      <w:r>
        <w:t>Transactions</w:t>
      </w:r>
    </w:p>
    <w:p>
      <w:r>
        <w:rPr>
          <w:b/>
        </w:rPr>
        <w:t xml:space="preserve">Date : </w:t>
      </w:r>
      <w:r>
        <w:t>2021-03-31T00:00:00</w:t>
      </w:r>
      <w:r>
        <w:rPr>
          <w:b/>
        </w:rPr>
        <w:t xml:space="preserve">Type : </w:t>
      </w:r>
      <w:r>
        <w:t>Engagement</w:t>
      </w:r>
      <w:r>
        <w:rPr>
          <w:b/>
        </w:rPr>
        <w:t xml:space="preserve"> Montant : </w:t>
      </w:r>
      <w:r>
        <w:t>5000000.00</w:t>
      </w:r>
    </w:p>
    <w:p>
      <w:r>
        <w:rPr>
          <w:b/>
        </w:rPr>
        <w:t xml:space="preserve">Date : </w:t>
      </w:r>
      <w:r>
        <w:t>2021-03-31T00:00:00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