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L'autonomisation économique des femmes pour une croissance inclusive et durable en Égypte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CA-3-D004193001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ONU Femmes des femmes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2019-03-28T00:00:00 au 2026-12-31T00:00:00</w:t>
      </w:r>
    </w:p>
    <w:p>
      <w:r>
        <w:rPr>
          <w:b/>
        </w:rPr>
        <w:t xml:space="preserve">Engagement : </w:t>
      </w:r>
      <w:r>
        <w:t>8900000.00</w:t>
      </w:r>
    </w:p>
    <w:p>
      <w:r>
        <w:rPr>
          <w:b/>
        </w:rPr>
        <w:t xml:space="preserve">Total envoye en $ : </w:t>
      </w:r>
      <w:r>
        <w:t>8900000.0</w:t>
      </w:r>
    </w:p>
    <w:p>
      <w:r>
        <w:rPr>
          <w:b/>
        </w:rPr>
        <w:t xml:space="preserve">Description : </w:t>
      </w:r>
      <w:r>
        <w:t>Ce projet vise à soutenir l'autonomisation économique des femmes en Égypte, où le chômage des femmes est plus de trois fois supérieur à celui des hommes. En Égypte, les femmes se heurtent à d'importants obstacles pour obtenir un travail décent, ainsi qu'à un accès limité aux services financiers et non financiers, à des normes sociales discriminatoires et au manque d'accès à la protection sociale ou aux services de soutien. Le projet vise à contribuer à la création d'emplois en améliorant l'environnement favorable aux entreprises et en promouvant une culture de l'entreprenariat pour les femmes égyptiennes dans les secteurs à forte croissance comme l'agro-industrie et l'énergie. Ce projet est mis en œuvre par ONU Femmes en partenariat avec l'Organisation des Nations Unies pour le développement industriel (ONUDI).  Les activités de ce projet comprennent : 1) fournir une formation technique et des services consultatifs aux entreprises dirigées par des femmes; 2) soutenir la création d'entreprises innovantes et vertes; 3) aider les entreprises à intégrer le genre dans les chaînes d'approvisionnement, revoir les politiques et en mettre en œuvre de nouvelles qui autonomisent les femmes; 4) aider les entreprises appartenant à des femmes à accéder à un financement alternatif.  Le projet vise à atteindre jusqu'à 6 300 bénéficiaires directs et environ 30 000 bénéficiaires indirects.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2019-03-28T00:00:00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8900000.00</w:t>
      </w:r>
    </w:p>
    <w:p>
      <w:r>
        <w:rPr>
          <w:b/>
        </w:rPr>
        <w:t xml:space="preserve">Date : </w:t>
      </w:r>
      <w:r>
        <w:t>2019-08-08T00:00:00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2020-05-22T00:00:00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2021-07-12T00:00:00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2022-08-02T00:00:00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2023-09-14T00:00:00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1300000.00</w:t>
      </w:r>
    </w:p>
    <w:p>
      <w:r>
        <w:rPr>
          <w:b/>
        </w:rPr>
        <w:t xml:space="preserve">Date : </w:t>
      </w:r>
      <w:r>
        <w:t>2024-05-02T00:00:00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