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Océans pour la prospérité – Indonésie</w:t>
      </w:r>
    </w:p>
    <w:p/>
    <w:p>
      <w:r>
        <w:rPr>
          <w:b/>
        </w:rPr>
        <w:t xml:space="preserve">Organisme : </w:t>
      </w:r>
      <w:r>
        <w:t>Affaires Mondiales Canada</w:t>
      </w:r>
    </w:p>
    <w:p>
      <w:r>
        <w:rPr>
          <w:b/>
        </w:rPr>
        <w:t xml:space="preserve">Numero de projet : </w:t>
      </w:r>
      <w:r>
        <w:t>CA-3-P011575001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2022-11-08T00:00:00 au 2027-09-30T00:00:00</w:t>
      </w:r>
    </w:p>
    <w:p>
      <w:r>
        <w:rPr>
          <w:b/>
        </w:rPr>
        <w:t xml:space="preserve">Engagement : </w:t>
      </w:r>
      <w:r>
        <w:t>10000000.00</w:t>
      </w:r>
    </w:p>
    <w:p>
      <w:r>
        <w:rPr>
          <w:b/>
        </w:rPr>
        <w:t xml:space="preserve">Total envoye en $ : </w:t>
      </w:r>
      <w:r>
        <w:t>4300000.0</w:t>
      </w:r>
    </w:p>
    <w:p>
      <w:r>
        <w:rPr>
          <w:b/>
        </w:rPr>
        <w:t xml:space="preserve">Description : </w:t>
      </w:r>
      <w:r>
        <w:t>Ce projet vise à soutenir le gouvernement de l’Indonésie dans la conservation de récifs coralliens et d’écosystèmes connexes (herbiers marins, mangroves) plus sains, plus productifs et plus résilients et à élargir l’accès à des débouchés économiques pour les collectivités côtières. Les activités de ce projet comprennent : 1) appuyer les activités et cadres de remise en état des récifs coralliens; 2) renforcer les capacités techniques pour améliorer la gestion des aires marines protégées; 3) s’attaquer au problème des déchets plastiques marins; 4) élaborer des outils de financement et d’autres stratégies pour renforcer les moyens de subsistance dans les zones côtières. Les bénéficiaires directs comprennent 80 000 personnes dans 250 villages, tandis que les bénéficiaires indirects incluent des millions de personnes dans les zones côtières des dix provinces ciblées. Le soutien fourni par le Canada bonifie et exploite un prêt de 200 millions de dollars américains de la Banque internationale pour la reconstruction et le développement versé au ministère des Affaires maritimes et des Pêches de l’Indonésie.</w:t>
      </w:r>
    </w:p>
    <w:p>
      <w:pPr>
        <w:pStyle w:val="Heading2"/>
      </w:pPr>
      <w:r>
        <w:t>Transactions</w:t>
      </w:r>
    </w:p>
    <w:p>
      <w:r>
        <w:rPr>
          <w:b/>
        </w:rPr>
        <w:t xml:space="preserve">Date : </w:t>
      </w:r>
      <w:r>
        <w:t>2022-11-08T00:00:00</w:t>
      </w:r>
      <w:r>
        <w:rPr>
          <w:b/>
        </w:rPr>
        <w:t xml:space="preserve">Type : </w:t>
      </w:r>
      <w:r>
        <w:t>Engagement</w:t>
      </w:r>
      <w:r>
        <w:rPr>
          <w:b/>
        </w:rPr>
        <w:t xml:space="preserve"> Montant : </w:t>
      </w:r>
      <w:r>
        <w:t>10000000.00</w:t>
      </w:r>
    </w:p>
    <w:p>
      <w:r>
        <w:rPr>
          <w:b/>
        </w:rPr>
        <w:t xml:space="preserve">Date : </w:t>
      </w:r>
      <w:r>
        <w:t>2022-12-22T00:00:00</w:t>
      </w:r>
      <w:r>
        <w:rPr>
          <w:b/>
        </w:rPr>
        <w:t xml:space="preserve">Type : </w:t>
      </w:r>
      <w:r>
        <w:t>Déboursé</w:t>
      </w:r>
      <w:r>
        <w:rPr>
          <w:b/>
        </w:rPr>
        <w:t xml:space="preserve"> Montant : </w:t>
      </w:r>
      <w:r>
        <w:t>2300000.00</w:t>
      </w:r>
    </w:p>
    <w:p>
      <w:r>
        <w:rPr>
          <w:b/>
        </w:rPr>
        <w:t xml:space="preserve">Date : </w:t>
      </w:r>
      <w:r>
        <w:t>2024-03-15T00:00:00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