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Plan d'action national jordanien pour les femmes, la paix et la sécurité - Fonds commun</w:t>
      </w:r>
    </w:p>
    <w:p/>
    <w:p>
      <w:r>
        <w:rPr>
          <w:b/>
        </w:rPr>
        <w:t xml:space="preserve">Organisme : </w:t>
      </w:r>
      <w:r>
        <w:t>Affaires Mondiales Canada</w:t>
      </w:r>
    </w:p>
    <w:p>
      <w:r>
        <w:rPr>
          <w:b/>
        </w:rPr>
        <w:t xml:space="preserve">Numero de projet : </w:t>
      </w:r>
      <w:r>
        <w:t>CA-3-P011549001</w:t>
      </w:r>
    </w:p>
    <w:p>
      <w:r>
        <w:rPr>
          <w:b/>
        </w:rPr>
        <w:t xml:space="preserve">Lieu : </w:t>
      </w:r>
      <w:r/>
    </w:p>
    <w:p>
      <w:r>
        <w:rPr>
          <w:b/>
        </w:rPr>
        <w:t xml:space="preserve">Agence executive partenaire : </w:t>
      </w:r>
      <w:r>
        <w:t>ONU Femmes des femmes</w:t>
      </w:r>
    </w:p>
    <w:p>
      <w:r>
        <w:rPr>
          <w:b/>
        </w:rPr>
        <w:t xml:space="preserve">Type de financement : </w:t>
      </w:r>
      <w:r>
        <w:t>Don hors réorganisation de la dette (y compris quasi-dons)</w:t>
      </w:r>
    </w:p>
    <w:p>
      <w:r>
        <w:rPr>
          <w:b/>
        </w:rPr>
        <w:t xml:space="preserve">Dates : </w:t>
      </w:r>
      <w:r>
        <w:t>2023-03-09T00:00:00 au 2025-12-31T00:00:00</w:t>
      </w:r>
    </w:p>
    <w:p>
      <w:r>
        <w:rPr>
          <w:b/>
        </w:rPr>
        <w:t xml:space="preserve">Engagement : </w:t>
      </w:r>
      <w:r>
        <w:t>5000000.00</w:t>
      </w:r>
    </w:p>
    <w:p>
      <w:r>
        <w:rPr>
          <w:b/>
        </w:rPr>
        <w:t xml:space="preserve">Total envoye en $ : </w:t>
      </w:r>
      <w:r>
        <w:t>5000000.0</w:t>
      </w:r>
    </w:p>
    <w:p>
      <w:r>
        <w:rPr>
          <w:b/>
        </w:rPr>
        <w:t xml:space="preserve">Description : </w:t>
      </w:r>
      <w:r>
        <w:t>Le projet contribue à promouvoir la cohésion sociale en Jordanie par la prévention et la résolution des conflits, réduisant ainsi les tensions sociales et la radicalisation et favorisant la stabilité. En tant qu'agents de changement et victimes de conflits, les femmes jouent un rôle essentiel dans la lutte contre les causes profondes de ces derniers. Le Canada a soutenu le Plan d'action national jordanien (JONAP) 2018-22 pour les femmes, la paix et la sécurité, qui a augmenté la représentation des femmes dans les secteurs de la sécurité et l'accès aux services pour les survivants de la violence basée sur le genre (VBG). Cette deuxième phase du JONAP (2022-2025) s'attaque aux obstacles qui subsistent à la participation des femmes dans les secteurs de la sécurité, de l'armée, de la diplomatie et de la justice, et donne aux organisations féminines locales les moyens de répondre efficacement aux crises et à la VBG.</w:t>
      </w:r>
    </w:p>
    <w:p>
      <w:pPr>
        <w:pStyle w:val="Heading2"/>
      </w:pPr>
      <w:r>
        <w:t>Transactions</w:t>
      </w:r>
    </w:p>
    <w:p>
      <w:r>
        <w:rPr>
          <w:b/>
        </w:rPr>
        <w:t xml:space="preserve">Date : </w:t>
      </w:r>
      <w:r>
        <w:t>2023-03-09T00:00:00</w:t>
      </w:r>
      <w:r>
        <w:rPr>
          <w:b/>
        </w:rPr>
        <w:t xml:space="preserve">Type : </w:t>
      </w:r>
      <w:r>
        <w:t>Engagement</w:t>
      </w:r>
      <w:r>
        <w:rPr>
          <w:b/>
        </w:rPr>
        <w:t xml:space="preserve"> Montant : </w:t>
      </w:r>
      <w:r>
        <w:t>5000000.00</w:t>
      </w:r>
    </w:p>
    <w:p>
      <w:r>
        <w:rPr>
          <w:b/>
        </w:rPr>
        <w:t xml:space="preserve">Date : </w:t>
      </w:r>
      <w:r>
        <w:t>2023-03-28T00:00:00</w:t>
      </w:r>
      <w:r>
        <w:rPr>
          <w:b/>
        </w:rPr>
        <w:t xml:space="preserve">Type : </w:t>
      </w:r>
      <w:r>
        <w:t>Déboursé</w:t>
      </w:r>
      <w:r>
        <w:rPr>
          <w:b/>
        </w:rPr>
        <w:t xml:space="preserve"> Montant : </w:t>
      </w:r>
      <w:r>
        <w:t>3500000.00</w:t>
      </w:r>
    </w:p>
    <w:p>
      <w:r>
        <w:rPr>
          <w:b/>
        </w:rPr>
        <w:t xml:space="preserve">Date : </w:t>
      </w:r>
      <w:r>
        <w:t>2024-02-13T00:00:00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