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Plateforme de préparation à l'investissement SI2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CA-3-P009495001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SVX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2022-03-17T00:00:00 au 2025-12-19T00:00:00</w:t>
      </w:r>
    </w:p>
    <w:p>
      <w:r>
        <w:rPr>
          <w:b/>
        </w:rPr>
        <w:t xml:space="preserve">Engagement : </w:t>
      </w:r>
      <w:r>
        <w:t>4100000.00</w:t>
      </w:r>
    </w:p>
    <w:p>
      <w:r>
        <w:rPr>
          <w:b/>
        </w:rPr>
        <w:t xml:space="preserve">Total envoye en $ : </w:t>
      </w:r>
      <w:r>
        <w:t>3437166.21</w:t>
      </w:r>
    </w:p>
    <w:p>
      <w:r>
        <w:rPr>
          <w:b/>
        </w:rPr>
        <w:t xml:space="preserve">Description : </w:t>
      </w:r>
      <w:r>
        <w:t>Ce projet améliorerailes moyens de subsistance durables et le bien-être économique, en particulier pour les femmes, leurs familles et leurs communautés, dans des zones ciblées de Colombie rurale, en situation de post-conflit et de pauvreté. Ce projet vise à établir une plateforme de préparation à l'investissement ("Colombia SI2") en Colombie qui fournira des capitaux et un soutien aux capacités des entreprises, des coopératives, des organisations et des fonds qui cherchent à démarrer ou à augmenter leur impact, avec un accent particulier sur les régions rurales de la Colombie et les entreprises au service des femmes. L'initiative proposée consolidera l'écosystème d'investissement à impact social de la Colombie et agira comme un catalyseur pour que le secteur de l'investissement à impact de la Colombie progresse vers la maturité. Grâce au SI2, l'investissement à impact jouera un rôle essentiel pour répondre aux défis insolubles, qu'il s'agisse du bien-être social, environnemental et économique de tous les citoyens ou des impacts du COVID-19.  Au total, plus de 20 fonds d'investissement à impact ainsi que 100 entreprises à impact, y compris des entreprises inclusives ou sociales, des coopératives, des associations, des organisations à but non lucratif, des intermédiaires et des investisseurs, seront soutenus ainsi que 10 communautés rurales, ce qui se traduira par au moins 3 150 bénéficiaires directs, propriétaires, membres et personnel d'entreprises à impact dans les zones rurales, et 10 000 bénéficiaires indirects et la création de plus de 500 nouveaux emplois.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400000.00</w:t>
      </w:r>
    </w:p>
    <w:p>
      <w:r>
        <w:rPr>
          <w:b/>
        </w:rPr>
        <w:t xml:space="preserve">Date : </w:t>
      </w:r>
      <w:r>
        <w:t>2022-12-15T00:00:00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121513.91</w:t>
      </w:r>
    </w:p>
    <w:p>
      <w:r>
        <w:rPr>
          <w:b/>
        </w:rPr>
        <w:t xml:space="preserve">Date : </w:t>
      </w:r>
      <w:r>
        <w:t>2023-02-02T00:00:00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941171.09</w:t>
      </w:r>
    </w:p>
    <w:p>
      <w:r>
        <w:rPr>
          <w:b/>
        </w:rPr>
        <w:t xml:space="preserve">Date : </w:t>
      </w:r>
      <w:r>
        <w:t>2023-05-31T00:00:00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532011.99</w:t>
      </w:r>
    </w:p>
    <w:p>
      <w:r>
        <w:rPr>
          <w:b/>
        </w:rPr>
        <w:t xml:space="preserve">Date : </w:t>
      </w:r>
      <w:r>
        <w:t>2023-09-14T00:00:00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270454.00</w:t>
      </w:r>
    </w:p>
    <w:p>
      <w:r>
        <w:rPr>
          <w:b/>
        </w:rPr>
        <w:t xml:space="preserve">Date : </w:t>
      </w:r>
      <w:r>
        <w:t>2023-12-07T00:00:00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473912.80</w:t>
      </w:r>
    </w:p>
    <w:p>
      <w:r>
        <w:rPr>
          <w:b/>
        </w:rPr>
        <w:t xml:space="preserve">Date : </w:t>
      </w:r>
      <w:r>
        <w:t>2024-04-30T00:00:00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156890.82</w:t>
      </w:r>
    </w:p>
    <w:p>
      <w:r>
        <w:rPr>
          <w:b/>
        </w:rPr>
        <w:t xml:space="preserve">Date : </w:t>
      </w:r>
      <w:r>
        <w:t>2024-08-15T00:00:00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222404.39</w:t>
      </w:r>
    </w:p>
    <w:p>
      <w:r>
        <w:rPr>
          <w:b/>
        </w:rPr>
        <w:t xml:space="preserve">Date : </w:t>
      </w:r>
      <w:r>
        <w:t>2024-10-31T00:00:00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318807.21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