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Prévention de l'extrémisme violent et de la violence fondée sur le genre en Tunisie</w:t>
      </w:r>
    </w:p>
    <w:p/>
    <w:p>
      <w:r>
        <w:rPr>
          <w:b/>
        </w:rPr>
        <w:t xml:space="preserve">Organisme : </w:t>
      </w:r>
      <w:r>
        <w:t>Affaires Mondiales Canada</w:t>
      </w:r>
    </w:p>
    <w:p>
      <w:r>
        <w:rPr>
          <w:b/>
        </w:rPr>
        <w:t xml:space="preserve">Numero de projet : </w:t>
      </w:r>
      <w:r>
        <w:t>CA-3-P013254001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2024-03-08T00:00:00 au 2026-03-31T00:00:00</w:t>
      </w:r>
    </w:p>
    <w:p>
      <w:r>
        <w:rPr>
          <w:b/>
        </w:rPr>
        <w:t xml:space="preserve">Engagement : </w:t>
      </w:r>
      <w:r>
        <w:t>1898663.40</w:t>
      </w:r>
    </w:p>
    <w:p>
      <w:r>
        <w:rPr>
          <w:b/>
        </w:rPr>
        <w:t xml:space="preserve">Total envoye en $ : </w:t>
      </w:r>
      <w:r>
        <w:t>949331.7</w:t>
      </w:r>
    </w:p>
    <w:p>
      <w:r>
        <w:rPr>
          <w:b/>
        </w:rPr>
        <w:t xml:space="preserve">Description : </w:t>
      </w:r>
      <w:r>
        <w:t>Ce projet vise à améliorer les capacités d'application de la loi et la résilience des communautés face à l'extrémisme violent et à la violence fondée sur le genre en Tunisie. Les activités de ce projet comprennent: 1) évaluer les besoins et mener une étude sur les interconnexions entre la violence à l'égard des femmes et l'extrémisme violent afin d'éclairer les interventions fondées sur des données probantes; 2) mis en œuvre d'interventions et des plans d'action menés par les communautés pour s'attaquer aux principaux moteurs socio-économiques de l'extrémisme violent et de la violence fondée sur le genre, tout en renforçant la coordination et les relations de collaboration entre les Forces de sécurité intérieure (FSI), les organisations de la société civile et les femmes dirigeantes; 3) renforcer les capacités des FSI et des unités spécialisées dans la lutte contre la violence liée au sexe afin d'améliorer la fourniture de services sensibles au genre aux femmes victimes de violence et l'utilisation d'approches de police de proximité pour prévenir la violence contre les femmes et l'extrémisme violent; 4) l'améliorer l'infrastructure critique et de l'équipement informatique pour renforcer l'efficacité des enquêtes sur la violence liée au sexe et la violence contre les enfants, conformément aux normes internationales en matière d'égalité des sexes et de droits de l'homme.</w:t>
      </w:r>
    </w:p>
    <w:p>
      <w:pPr>
        <w:pStyle w:val="Heading2"/>
      </w:pPr>
      <w:r>
        <w:t>Transactions</w:t>
      </w:r>
    </w:p>
    <w:p>
      <w:r>
        <w:rPr>
          <w:b/>
        </w:rPr>
        <w:t xml:space="preserve">Date : </w:t>
      </w:r>
      <w:r>
        <w:t>2024-03-08T00:00:00</w:t>
      </w:r>
      <w:r>
        <w:rPr>
          <w:b/>
        </w:rPr>
        <w:t xml:space="preserve">Type : </w:t>
      </w:r>
      <w:r>
        <w:t>Engagement</w:t>
      </w:r>
      <w:r>
        <w:rPr>
          <w:b/>
        </w:rPr>
        <w:t xml:space="preserve"> Montant : </w:t>
      </w:r>
      <w:r>
        <w:t>1898663.40</w:t>
      </w:r>
    </w:p>
    <w:p>
      <w:r>
        <w:rPr>
          <w:b/>
        </w:rPr>
        <w:t xml:space="preserve">Date : </w:t>
      </w:r>
      <w:r>
        <w:t>2024-03-31T00:00:00</w:t>
      </w:r>
      <w:r>
        <w:rPr>
          <w:b/>
        </w:rPr>
        <w:t xml:space="preserve">Type : </w:t>
      </w:r>
      <w:r>
        <w:t>Déboursé</w:t>
      </w:r>
      <w:r>
        <w:rPr>
          <w:b/>
        </w:rPr>
        <w:t xml:space="preserve"> Montant : </w:t>
      </w:r>
      <w:r>
        <w:t>949331.70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