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Pratiques des bailleurs de fonds en matière de financement mixte</w:t>
      </w:r>
    </w:p>
    <w:p/>
    <w:p>
      <w:r>
        <w:rPr>
          <w:b/>
        </w:rPr>
        <w:t xml:space="preserve">Organisme : </w:t>
      </w:r>
      <w:r>
        <w:t>Affaires Mondiales Canada</w:t>
      </w:r>
    </w:p>
    <w:p>
      <w:r>
        <w:rPr>
          <w:b/>
        </w:rPr>
        <w:t xml:space="preserve">Numero de projet : </w:t>
      </w:r>
      <w:r>
        <w:t>CA-3-P012013001</w:t>
      </w:r>
    </w:p>
    <w:p>
      <w:r>
        <w:rPr>
          <w:b/>
        </w:rPr>
        <w:t xml:space="preserve">Lieu : </w:t>
      </w:r>
      <w:r>
        <w:t>Afrique, régional, Amérique, régional, Asie, régional, Europe, régional</w:t>
      </w:r>
    </w:p>
    <w:p>
      <w:r>
        <w:rPr>
          <w:b/>
        </w:rPr>
        <w:t xml:space="preserve">Agence executive partenaire : </w:t>
      </w:r>
      <w:r>
        <w:t xml:space="preserve">Convergence Blended Finance Inc. </w:t>
      </w:r>
    </w:p>
    <w:p>
      <w:r>
        <w:rPr>
          <w:b/>
        </w:rPr>
        <w:t xml:space="preserve">Type de financement : </w:t>
      </w:r>
      <w:r>
        <w:t>Don hors réorganisation de la dette (y compris quasi-dons)</w:t>
      </w:r>
    </w:p>
    <w:p>
      <w:r>
        <w:rPr>
          <w:b/>
        </w:rPr>
        <w:t xml:space="preserve">Dates : </w:t>
      </w:r>
      <w:r>
        <w:t>2022-09-21T00:00:00 au 2023-09-30T00:00:00</w:t>
      </w:r>
    </w:p>
    <w:p>
      <w:r>
        <w:rPr>
          <w:b/>
        </w:rPr>
        <w:t xml:space="preserve">Engagement : </w:t>
      </w:r>
      <w:r>
        <w:t>159610.00</w:t>
      </w:r>
    </w:p>
    <w:p>
      <w:r>
        <w:rPr>
          <w:b/>
        </w:rPr>
        <w:t xml:space="preserve">Total envoye en $ : </w:t>
      </w:r>
      <w:r>
        <w:t>159610.0</w:t>
      </w:r>
    </w:p>
    <w:p>
      <w:r>
        <w:rPr>
          <w:b/>
        </w:rPr>
        <w:t xml:space="preserve">Description : </w:t>
      </w:r>
      <w:r>
        <w:t>L’objectif de l’initiative est d’accroître l’efficacité et l’utilisation du financement mixte dans l’aide publique au développement par les principales parties prenantes, telles que les donateurs, les organismes de bienfaisance et les investisseurs. Le principal résultat attendu est un rapport qui présente les pratiques en matière de financement mixte, les analyse et formule des recommandations à ce sujet. Le financement mixte est un mode de financement des projets de développement qui utilise des fonds publics ou des fonds philanthropiques pour mobiliser des capitaux privés au profit des pays en développement.</w:t>
      </w:r>
    </w:p>
    <w:p>
      <w:pPr>
        <w:pStyle w:val="Heading2"/>
      </w:pPr>
      <w:r>
        <w:t>Transactions</w:t>
      </w:r>
    </w:p>
    <w:p>
      <w:r>
        <w:rPr>
          <w:b/>
        </w:rPr>
        <w:t xml:space="preserve">Date : </w:t>
      </w:r>
      <w:r>
        <w:t>2022-09-21T00:00:00</w:t>
      </w:r>
      <w:r>
        <w:rPr>
          <w:b/>
        </w:rPr>
        <w:t xml:space="preserve">Type : </w:t>
      </w:r>
      <w:r>
        <w:t>Engagement</w:t>
      </w:r>
      <w:r>
        <w:rPr>
          <w:b/>
        </w:rPr>
        <w:t xml:space="preserve"> Montant : </w:t>
      </w:r>
      <w:r>
        <w:t>159610.00</w:t>
      </w:r>
    </w:p>
    <w:p>
      <w:r>
        <w:rPr>
          <w:b/>
        </w:rPr>
        <w:t xml:space="preserve">Date : </w:t>
      </w:r>
      <w:r>
        <w:t>2022-09-21T00:00:00</w:t>
      </w:r>
      <w:r>
        <w:rPr>
          <w:b/>
        </w:rPr>
        <w:t xml:space="preserve">Type : </w:t>
      </w:r>
      <w:r>
        <w:t>Déboursé</w:t>
      </w:r>
      <w:r>
        <w:rPr>
          <w:b/>
        </w:rPr>
        <w:t xml:space="preserve"> Montant : </w:t>
      </w:r>
      <w:r>
        <w:t>159610.00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