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Programme d’éducation et de compétences favorisant l’égalité des genres à Cox’s Bazar</w:t>
      </w:r>
    </w:p>
    <w:p/>
    <w:p>
      <w:r>
        <w:rPr>
          <w:b/>
        </w:rPr>
        <w:t xml:space="preserve">Organisme : </w:t>
      </w:r>
      <w:r>
        <w:t>Affaires Mondiales Canada</w:t>
      </w:r>
    </w:p>
    <w:p>
      <w:r>
        <w:rPr>
          <w:b/>
        </w:rPr>
        <w:t xml:space="preserve">Numero de projet : </w:t>
      </w:r>
      <w:r>
        <w:t>CA-3-P010738001</w:t>
      </w:r>
    </w:p>
    <w:p>
      <w:r>
        <w:rPr>
          <w:b/>
        </w:rPr>
        <w:t xml:space="preserve">Lieu : </w:t>
      </w:r>
      <w:r/>
    </w:p>
    <w:p>
      <w:r>
        <w:rPr>
          <w:b/>
        </w:rPr>
        <w:t xml:space="preserve">Agence executive partenaire : </w:t>
      </w:r>
      <w:r>
        <w:t xml:space="preserve">OIT - Organisation internationale du Travail </w:t>
      </w:r>
    </w:p>
    <w:p>
      <w:r>
        <w:rPr>
          <w:b/>
        </w:rPr>
        <w:t xml:space="preserve">Type de financement : </w:t>
      </w:r>
      <w:r>
        <w:t>Don hors réorganisation de la dette (y compris quasi-dons)</w:t>
      </w:r>
    </w:p>
    <w:p>
      <w:r>
        <w:rPr>
          <w:b/>
        </w:rPr>
        <w:t xml:space="preserve">Dates : </w:t>
      </w:r>
      <w:r>
        <w:t>2022-03-27T00:00:00 au 2025-03-31T00:00:00</w:t>
      </w:r>
    </w:p>
    <w:p>
      <w:r>
        <w:rPr>
          <w:b/>
        </w:rPr>
        <w:t xml:space="preserve">Engagement : </w:t>
      </w:r>
      <w:r>
        <w:t>44000000.00</w:t>
      </w:r>
    </w:p>
    <w:p>
      <w:r>
        <w:rPr>
          <w:b/>
        </w:rPr>
        <w:t xml:space="preserve">Total envoye en $ : </w:t>
      </w:r>
      <w:r>
        <w:t>44000000.0</w:t>
      </w:r>
    </w:p>
    <w:p>
      <w:r>
        <w:rPr>
          <w:b/>
        </w:rPr>
        <w:t xml:space="preserve">Description : </w:t>
      </w:r>
      <w:r>
        <w:t>Le projet vise à relever les défis liés aux moyens de subsistance des communautés d’accueil et des réfugiés rohingyas au Bangladesh. Le projet se concentre sur les défis auxquels sont confrontés les femmes, les jeunes, les personnes handicapées et les autres groupes vulnérables. Le projet contribue à atténuer les tensions entre les deux communautés. Il cherche également à établir des stratégies pour mettre en œuvre et développer des activités pour les réfugiés rohingyas, en particulier les femmes, afin qu’ils gardent l’espoir d’un retour durable au Myanmar tout en étant productifs et en ayant un but au Bangladesh. Le projet comporte deux volets différents : améliorer la résilience et l’autonomie des réfugiés rohingyas, en particulier des femmes, des jeunes et des personnes handicapées, et renforcer le pouvoir économique et la participation économique des membres des communautés d’accueil de Cox’s Bazar, notamment des adolescents et des jeunes, des femmes et des personnes handicapées. Pour permettre un changement de système, les responsables du projet travaillent avec des parties prenantes à plusieurs niveaux, notamment les propriétaires d’entreprises, les comités de gestion, les prestataires de services de formation, les enseignants, les parents, les formateurs et les dirigeants communautaires.  Les activités de ce projet comprennent : 1) améliorer l’accès à l’éducation et offrir une formation technique basée sur l’évaluation des besoins des réfugiés rohingyas, en particulier les femmes et les jeunes; 2) offrir des débouchés aux diplômés de la formation professionnelle; 3) offrir une formation préprofessionnelle sur l’alphabétisation, le calcul et les compétences de vie aux adolescents et aux jeunes réfugiés, en mettant particulièrement l’ accent sur les filles et les femmes; 4) développer des destinations touristiques à fort potentiel en collaboration avec le gouvernement et les acteurs du marché; 5) promouvoir les occasions d’emploi indépendant et salarié et d’entrepreneuriat dans certaines destinations touristiques et aux alentours de celles-ci, en donnant la priorité aux débouchés économiques pour les femmes; 6) développer un tourisme communautaire respectueux de l’environnement et favorisant l’égalité des genres, y compris des initiatives réalisées par des femmes et des filles locales, en améliorant les compétences, les infrastructures et les services; 7) augmenter la production et la productivité des produits agricoles promus pour répondre aux besoins d’approvisionnement des camps.  Ce projet est mis en œuvre conjointement par l'Organisation internationale du travail (OIT), le Haut Commissariat des Nations unies pour les réfugiés (HCR), l'Organisation internationale pour les migrations (OIM), le Programme des Nations unies pour le développement (PNUD) et le BRAC.</w:t>
      </w:r>
    </w:p>
    <w:p>
      <w:pPr>
        <w:pStyle w:val="Heading2"/>
      </w:pPr>
      <w:r>
        <w:t>Transactions</w:t>
      </w:r>
    </w:p>
    <w:p>
      <w:r>
        <w:rPr>
          <w:b/>
        </w:rPr>
        <w:t xml:space="preserve">Date : </w:t>
      </w:r>
      <w:r>
        <w:t>2022-03-27T00:00:00</w:t>
      </w:r>
      <w:r>
        <w:rPr>
          <w:b/>
        </w:rPr>
        <w:t xml:space="preserve">Type : </w:t>
      </w:r>
      <w:r>
        <w:t>Engagement</w:t>
      </w:r>
      <w:r>
        <w:rPr>
          <w:b/>
        </w:rPr>
        <w:t xml:space="preserve"> Montant : </w:t>
      </w:r>
      <w:r>
        <w:t>44000000.00</w:t>
      </w:r>
    </w:p>
    <w:p>
      <w:r>
        <w:rPr>
          <w:b/>
        </w:rPr>
        <w:t xml:space="preserve">Date : </w:t>
      </w:r>
      <w:r>
        <w:t>2022-03-28T00:00:00</w:t>
      </w:r>
      <w:r>
        <w:rPr>
          <w:b/>
        </w:rPr>
        <w:t xml:space="preserve">Type : </w:t>
      </w:r>
      <w:r>
        <w:t>Déboursé</w:t>
      </w:r>
      <w:r>
        <w:rPr>
          <w:b/>
        </w:rPr>
        <w:t xml:space="preserve"> Montant : </w:t>
      </w:r>
      <w:r>
        <w:t>18000000.00</w:t>
      </w:r>
    </w:p>
    <w:p>
      <w:r>
        <w:rPr>
          <w:b/>
        </w:rPr>
        <w:t xml:space="preserve">Date : </w:t>
      </w:r>
      <w:r>
        <w:t>2023-03-17T00:00:00</w:t>
      </w:r>
      <w:r>
        <w:rPr>
          <w:b/>
        </w:rPr>
        <w:t xml:space="preserve">Type : </w:t>
      </w:r>
      <w:r>
        <w:t>Déboursé</w:t>
      </w:r>
      <w:r>
        <w:rPr>
          <w:b/>
        </w:rPr>
        <w:t xml:space="preserve"> Montant : </w:t>
      </w:r>
      <w:r>
        <w:t>13400000.00</w:t>
      </w:r>
    </w:p>
    <w:p>
      <w:r>
        <w:rPr>
          <w:b/>
        </w:rPr>
        <w:t xml:space="preserve">Date : </w:t>
      </w:r>
      <w:r>
        <w:t>2024-01-18T00:00:00</w:t>
      </w:r>
      <w:r>
        <w:rPr>
          <w:b/>
        </w:rPr>
        <w:t xml:space="preserve">Type : </w:t>
      </w:r>
      <w:r>
        <w:t>Déboursé</w:t>
      </w:r>
      <w:r>
        <w:rPr>
          <w:b/>
        </w:rPr>
        <w:t xml:space="preserve"> Montant : </w:t>
      </w:r>
      <w:r>
        <w:t>12600000.00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