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intégré de renforcement de la santé reproductive des femmes, jeunes et adolescentes du Sénéga</w:t>
      </w:r>
    </w:p>
    <w:p/>
    <w:p>
      <w:r>
        <w:rPr>
          <w:b/>
        </w:rPr>
        <w:t xml:space="preserve">Organisme : </w:t>
      </w:r>
      <w:r>
        <w:t>Affaires Mondiales Canada</w:t>
      </w:r>
    </w:p>
    <w:p>
      <w:r>
        <w:rPr>
          <w:b/>
        </w:rPr>
        <w:t xml:space="preserve">Numero de projet : </w:t>
      </w:r>
      <w:r>
        <w:t>CA-3-P012769001</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2024-06-03T00:00:00 au 2031-12-31T00:00:00</w:t>
      </w:r>
    </w:p>
    <w:p>
      <w:r>
        <w:rPr>
          <w:b/>
        </w:rPr>
        <w:t xml:space="preserve">Engagement : </w:t>
      </w:r>
      <w:r>
        <w:t>24000000.00</w:t>
      </w:r>
    </w:p>
    <w:p>
      <w:r>
        <w:rPr>
          <w:b/>
        </w:rPr>
        <w:t xml:space="preserve">Total envoye en $ : </w:t>
      </w:r>
      <w:r>
        <w:t>4500000.0</w:t>
      </w:r>
    </w:p>
    <w:p>
      <w:r>
        <w:rPr>
          <w:b/>
        </w:rPr>
        <w:t xml:space="preserve">Description : </w:t>
      </w:r>
      <w:r>
        <w:t>Ce projet vise à réduire les décès maternels évitables et les besoins non satisfaits en matière de santé génésique en améliorant la disponibilité, l'acceptabilité et l'accessibilité de services de santé et de reproduction de qualité adaptés aux jeunes. Il vise également à donner aux femmes, aux jeunes et aux adolescents les moyens de prendre des décisions en matière de santé et de droits sexuels et reproductifs (SDSR). Le projet cible 838 000 personnes, y compris des groupes vulnérables tels que les filles sans instruction et les personnes handicapées. Il se concentre sur les régions où les taux d'utilisation des contraceptifs sont les plus faibles dans les zones reculées, notamment Kédougou, Kolda, Tambacounda, Sédhiou, Ziguinchor et les districts sanitaires de Popenguine et du sud de Dakar.  Les activités du projet comprennent : 1) fournir une éducation sexuelle complète aux jeunes et aux filles dans les écoles et les clubs de jeunes; 2) soutenir une masculinité positive en développant la stratégie des "écoles de maris". Le projet comprend la défense des droits sexuels et génésiques auprès de 14 400 chefs religieux et de 2 300 acteurs culturels, en utilisant une approche transformatrice de l'égalité des sexes. Cette approche vise à examiner, remettre en question et transformer les causes sous-jacentes de l'inégalité entre les sexes qui sont enracinées dans des structures et des institutions sociales inéquitables; 3) fournir des équipements médicaux mobiles aux établissements de soins de santé afin d'améliorer l'accessibilité des soins; 4) mener une étude pour obtenir des données sur les comportements des adolescents, des jeunes et des femmes en matière de santé génésique et de planification familiale. Ceci, afin de fournir de meilleurs services adaptés aux besoins des adolescents; 5) former le personnel de santé à des services de planning familial adaptés et de qualité; 6) développer et mettre en œuvre une stratégie de communication intégrée sur la santé reproductive de la mère et de l'enfant, la violence basée sur le genre, l'égalité des genres et les droits humains.  Le projet s'inspire des meilleures pratiques et des enseignements tirés du projet "Améliorer la santé et le bien-être des femmes et des adolescents dans le sud du Sénégal", mis en œuvre avec de bons résultats par le Fonds des Nations unies pour la population. Ce projet soutient l'engagement du Canada en faveur de la santé et des droits dans le monde, en particulier dans le domaine négligé de la violence fondée sur le genre, à savoir l'engagement en faveur de la santé et des droits sexuels et reproductifs.</w:t>
      </w:r>
    </w:p>
    <w:p>
      <w:pPr>
        <w:pStyle w:val="Heading2"/>
      </w:pPr>
      <w:r>
        <w:t>Transactions</w:t>
      </w:r>
    </w:p>
    <w:p>
      <w:r>
        <w:rPr>
          <w:b/>
        </w:rPr>
        <w:t xml:space="preserve">Date : </w:t>
      </w:r>
      <w:r>
        <w:t>2024-06-03T00:00:00</w:t>
      </w:r>
      <w:r>
        <w:rPr>
          <w:b/>
        </w:rPr>
        <w:t xml:space="preserve">Type : </w:t>
      </w:r>
      <w:r>
        <w:t>Engagement</w:t>
      </w:r>
      <w:r>
        <w:rPr>
          <w:b/>
        </w:rPr>
        <w:t xml:space="preserve"> Montant : </w:t>
      </w:r>
      <w:r>
        <w:t>24000000.00</w:t>
      </w:r>
    </w:p>
    <w:p>
      <w:r>
        <w:rPr>
          <w:b/>
        </w:rPr>
        <w:t xml:space="preserve">Date : </w:t>
      </w:r>
      <w:r>
        <w:t>2024-06-25T00:00:00</w:t>
      </w:r>
      <w:r>
        <w:rPr>
          <w:b/>
        </w:rPr>
        <w:t xml:space="preserve">Type : </w:t>
      </w:r>
      <w:r>
        <w:t>Déboursé</w:t>
      </w:r>
      <w:r>
        <w:rPr>
          <w:b/>
        </w:rPr>
        <w:t xml:space="preserve"> Montant : </w:t>
      </w:r>
      <w:r>
        <w:t>4500000.00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