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 santé et les droits sexuels et reproductifs globaux en tant que soins de santé</w:t>
      </w:r>
    </w:p>
    <w:p/>
    <w:p>
      <w:r>
        <w:rPr>
          <w:b/>
        </w:rPr>
        <w:t xml:space="preserve">Organisme : </w:t>
      </w:r>
      <w:r>
        <w:t>Affaires Mondiales Canada</w:t>
      </w:r>
    </w:p>
    <w:p>
      <w:r>
        <w:rPr>
          <w:b/>
        </w:rPr>
        <w:t xml:space="preserve">Numero de projet : </w:t>
      </w:r>
      <w:r>
        <w:t>CA-3-P013015001</w:t>
      </w:r>
    </w:p>
    <w:p>
      <w:r>
        <w:rPr>
          <w:b/>
        </w:rPr>
        <w:t xml:space="preserve">Lieu : </w:t>
      </w:r>
      <w:r>
        <w:t>Sud du Sahara, régional, Asie du Sud,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2024-05-10T00:00:00 au 2027-03-31T00:00:00</w:t>
      </w:r>
    </w:p>
    <w:p>
      <w:r>
        <w:rPr>
          <w:b/>
        </w:rPr>
        <w:t xml:space="preserve">Engagement : </w:t>
      </w:r>
      <w:r>
        <w:t>33000000.00</w:t>
      </w:r>
    </w:p>
    <w:p>
      <w:r>
        <w:rPr>
          <w:b/>
        </w:rPr>
        <w:t xml:space="preserve">Total envoye en $ : </w:t>
      </w:r>
      <w:r>
        <w:t>16000000.0</w:t>
      </w:r>
    </w:p>
    <w:p>
      <w:r>
        <w:rPr>
          <w:b/>
        </w:rPr>
        <w:t xml:space="preserve">Description : </w:t>
      </w:r>
      <w:r>
        <w:t>Le projet vise à améliorer l’accès des femmes et des filles dans les pays ciblés aux services complets de santé et de droits sexuels et reproductifs (SDSR). Il met l’accent sur l’avortement sécuritaire, la planification familiale et l’éducation sexuelle complète. Les activités de ce projet comprennent: 1) fournir des outils et une assistance technique aux ministères nationaux de la Santé, aux organisations de la société civile et aux associations professionnelles pour contribuer à élargir l’accès aux services complets de santé sexuelle et reproductive; 2) mener des recherches sur les services complets de SDSR et publier des articles sur le sujet; 3) tenir des consultations, un dialogue à l’échelle nationale et des activités de coordination afin d’aider les pays concernés à utiliser la recherche fondée sur des données probantes pour façonner des politiques adaptées au genre qui favorisent l’accès des femmes et des filles aux services de SDSR.</w:t>
      </w:r>
    </w:p>
    <w:p>
      <w:pPr>
        <w:pStyle w:val="Heading2"/>
      </w:pPr>
      <w:r>
        <w:t>Transactions</w:t>
      </w:r>
    </w:p>
    <w:p>
      <w:r>
        <w:rPr>
          <w:b/>
        </w:rPr>
        <w:t xml:space="preserve">Date : </w:t>
      </w:r>
      <w:r>
        <w:t>2024-05-10T00:00:00</w:t>
      </w:r>
      <w:r>
        <w:rPr>
          <w:b/>
        </w:rPr>
        <w:t xml:space="preserve">Type : </w:t>
      </w:r>
      <w:r>
        <w:t>Engagement</w:t>
      </w:r>
      <w:r>
        <w:rPr>
          <w:b/>
        </w:rPr>
        <w:t xml:space="preserve"> Montant : </w:t>
      </w:r>
      <w:r>
        <w:t>33000000.00</w:t>
      </w:r>
    </w:p>
    <w:p>
      <w:r>
        <w:rPr>
          <w:b/>
        </w:rPr>
        <w:t xml:space="preserve">Date : </w:t>
      </w:r>
      <w:r>
        <w:t>2024-11-07T00:00:00</w:t>
      </w:r>
      <w:r>
        <w:rPr>
          <w:b/>
        </w:rPr>
        <w:t xml:space="preserve">Type : </w:t>
      </w:r>
      <w:r>
        <w:t>Déboursé</w:t>
      </w:r>
      <w:r>
        <w:rPr>
          <w:b/>
        </w:rPr>
        <w:t xml:space="preserve"> Montant : </w:t>
      </w:r>
      <w:r>
        <w:t>16000000.00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