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Réduction de l’uranium hautement enrichi au Kazakhstan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CA-3-P010726001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United States Departmentof Energy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2021-12-17T00:00:00 au 2025-03-31T00:00:00</w:t>
      </w:r>
    </w:p>
    <w:p>
      <w:r>
        <w:rPr>
          <w:b/>
        </w:rPr>
        <w:t xml:space="preserve">Engagement : </w:t>
      </w:r>
      <w:r>
        <w:t>2500000.00</w:t>
      </w:r>
    </w:p>
    <w:p>
      <w:r>
        <w:rPr>
          <w:b/>
        </w:rPr>
        <w:t xml:space="preserve">Total envoye en $ : </w:t>
      </w:r>
      <w:r>
        <w:t>2500000.0</w:t>
      </w:r>
    </w:p>
    <w:p>
      <w:r>
        <w:rPr>
          <w:b/>
        </w:rPr>
        <w:t xml:space="preserve">Description : </w:t>
      </w:r>
      <w:r>
        <w:t>Ce projet finance le bureau responsable de la gestion et de la réduction des matières de la National Nuclear Security Administration du département de l’Énergie des États-Unis afin d’éliminer les restants d’uranium hautement enrichi dans un réacteur de recherche à Kourtchatov, au Kazakhstan. Les activités du projet comprennent : 1) effectuer des réparations structurelles à la piste de roulement du portique qui permet le déplacement de l’équipement et des matériaux lourds; 2) rénover les systèmes de contrôle et d’alimentation pour le chargement et le déchargement du portique.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2021-12-17T00:00:00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2500000.00</w:t>
      </w:r>
    </w:p>
    <w:p>
      <w:r>
        <w:rPr>
          <w:b/>
        </w:rPr>
        <w:t xml:space="preserve">Date : </w:t>
      </w:r>
      <w:r>
        <w:t>2022-01-18T00:00:00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2500000.00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