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Réponse à la crise de faim axée sur la nutrition au Soudan du Sud et dans la région du Tigré en Éthi</w:t>
      </w:r>
    </w:p>
    <w:p/>
    <w:p>
      <w:r>
        <w:rPr>
          <w:b/>
        </w:rPr>
        <w:t xml:space="preserve">Organisme : </w:t>
      </w:r>
      <w:r>
        <w:t>Affaires Mondiales Canada</w:t>
      </w:r>
    </w:p>
    <w:p>
      <w:r>
        <w:rPr>
          <w:b/>
        </w:rPr>
        <w:t xml:space="preserve">Numero de projet : </w:t>
      </w:r>
      <w:r>
        <w:t>CA-3-P011405001</w:t>
      </w:r>
    </w:p>
    <w:p>
      <w:r>
        <w:rPr>
          <w:b/>
        </w:rPr>
        <w:t xml:space="preserve">Lieu : </w:t>
      </w:r>
      <w:r/>
    </w:p>
    <w:p>
      <w:r>
        <w:rPr>
          <w:b/>
        </w:rPr>
        <w:t xml:space="preserve">Agence executive partenaire : </w:t>
      </w:r>
      <w:r>
        <w:t xml:space="preserve">Vision Mondiale Canada </w:t>
      </w:r>
    </w:p>
    <w:p>
      <w:r>
        <w:rPr>
          <w:b/>
        </w:rPr>
        <w:t xml:space="preserve">Type de financement : </w:t>
      </w:r>
      <w:r>
        <w:t>Don hors réorganisation de la dette (y compris quasi-dons)</w:t>
      </w:r>
    </w:p>
    <w:p>
      <w:r>
        <w:rPr>
          <w:b/>
        </w:rPr>
        <w:t xml:space="preserve">Dates : </w:t>
      </w:r>
      <w:r>
        <w:t>2022-10-28T00:00:00 au 2024-03-31T00:00:00</w:t>
      </w:r>
    </w:p>
    <w:p>
      <w:r>
        <w:rPr>
          <w:b/>
        </w:rPr>
        <w:t xml:space="preserve">Engagement : </w:t>
      </w:r>
      <w:r>
        <w:t>19000000.00</w:t>
      </w:r>
    </w:p>
    <w:p>
      <w:r>
        <w:rPr>
          <w:b/>
        </w:rPr>
        <w:t xml:space="preserve">Total envoye en $ : </w:t>
      </w:r>
      <w:r>
        <w:t>19000000.0</w:t>
      </w:r>
    </w:p>
    <w:p>
      <w:r>
        <w:rPr>
          <w:b/>
        </w:rPr>
        <w:t xml:space="preserve">Description : </w:t>
      </w:r>
      <w:r>
        <w:t>2022 – Une grande partie du monde est actuellement confrontée à une crise alimentaire, aggravée par les conflits, les changements climatiques et les effets résiduels de la pandémie de COVID-19. L’indice mondial des prix alimentaires de la FAO a atteint un nouveau sommet en mars 2022, augmentant de 34 % par rapport à la même période de l’année dernière. Les conflits persistants et les répercussions cumulées des changements climatiques (catastrophes naturelles successives, grandes sécheresses, invasions de sauterelles, inondations pluriannuelles modifiant le paysage, etc.) se sont combinés pour accroître l’insécurité alimentaire aiguë mondiale de 84 %, passant de 150 millions de personnes en 2019 à 276 millions en 2022. Avant la crise ukrainienne, un groupe mondial d’experts en nutrition estimait que 13,6 millions d’enfants supplémentaires souffriraient d’émaciation d’ici 2022, une augmentation de 30 % en trois ans.  Avec le soutien d’Affaires mondiales Canada (AMC), ce projet vise à accroître l’accès à des services de santé et de nutrition d’urgence de qualité, à la fois curatifs et préventifs, afin de prévenir, de diagnostiquer et de traiter la malnutrition aiguë chez les enfants de moins de cinq ans et chez les femmes enceintes et qui allaitaient tout en réduisant les piètres résultats sur le plan de la santé. Les activités du projet comprennent : 1) fournir des programmes d’alimentation thérapeutique de qualité aux patients externes afin de traiter et de gérer la malnutrition aiguë sévère chez les enfants de moins de cinq ans et les femmes enceintes et qui allaitent, y compris les autres cas de malnutrition; 2) équiper les centres de soins de santé primaires et les travailleurs de la santé de première ligne pour qu’ils puissent fournir des services de gestion communautaires de la malnutrition aiguë; 3) établir des systèmes communautaires de dépistage de la malnutrition, de mobilisation et d’aiguillage; 4) établir des mécanismes de protection communautaires pour les femmes, les filles et les garçons qui risquent de subir de la violence sexuelle et fondée sur le genre.</w:t>
      </w:r>
    </w:p>
    <w:p>
      <w:pPr>
        <w:pStyle w:val="Heading2"/>
      </w:pPr>
      <w:r>
        <w:t>Transactions</w:t>
      </w:r>
    </w:p>
    <w:p>
      <w:r>
        <w:rPr>
          <w:b/>
        </w:rPr>
        <w:t xml:space="preserve">Date : </w:t>
      </w:r>
      <w:r>
        <w:t>2022-10-28T00:00:00</w:t>
      </w:r>
      <w:r>
        <w:rPr>
          <w:b/>
        </w:rPr>
        <w:t xml:space="preserve">Type : </w:t>
      </w:r>
      <w:r>
        <w:t>Engagement</w:t>
      </w:r>
      <w:r>
        <w:rPr>
          <w:b/>
        </w:rPr>
        <w:t xml:space="preserve"> Montant : </w:t>
      </w:r>
      <w:r>
        <w:t>19000000.00</w:t>
      </w:r>
    </w:p>
    <w:p>
      <w:r>
        <w:rPr>
          <w:b/>
        </w:rPr>
        <w:t xml:space="preserve">Date : </w:t>
      </w:r>
      <w:r>
        <w:t>2022-03-30T00:00:00</w:t>
      </w:r>
      <w:r>
        <w:rPr>
          <w:b/>
        </w:rPr>
        <w:t xml:space="preserve">Type : </w:t>
      </w:r>
      <w:r>
        <w:t>Déboursé</w:t>
      </w:r>
      <w:r>
        <w:rPr>
          <w:b/>
        </w:rPr>
        <w:t xml:space="preserve"> Montant : </w:t>
      </w:r>
      <w:r>
        <w:t>7000000.00</w:t>
      </w:r>
    </w:p>
    <w:p>
      <w:r>
        <w:rPr>
          <w:b/>
        </w:rPr>
        <w:t xml:space="preserve">Date : </w:t>
      </w:r>
      <w:r>
        <w:t>2022-11-01T00:00:00</w:t>
      </w:r>
      <w:r>
        <w:rPr>
          <w:b/>
        </w:rPr>
        <w:t xml:space="preserve">Type : </w:t>
      </w:r>
      <w:r>
        <w:t>Déboursé</w:t>
      </w:r>
      <w:r>
        <w:rPr>
          <w:b/>
        </w:rPr>
        <w:t xml:space="preserve"> Montant : </w:t>
      </w:r>
      <w:r>
        <w:t>4000000.00</w:t>
      </w:r>
    </w:p>
    <w:p>
      <w:r>
        <w:rPr>
          <w:b/>
        </w:rPr>
        <w:t xml:space="preserve">Date : </w:t>
      </w:r>
      <w:r>
        <w:t>2023-01-04T00:00:00</w:t>
      </w:r>
      <w:r>
        <w:rPr>
          <w:b/>
        </w:rPr>
        <w:t xml:space="preserve">Type : </w:t>
      </w:r>
      <w:r>
        <w:t>Déboursé</w:t>
      </w:r>
      <w:r>
        <w:rPr>
          <w:b/>
        </w:rPr>
        <w:t xml:space="preserve"> Montant : </w:t>
      </w:r>
      <w:r>
        <w:t>8000000.00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