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Rebâtir sur des bases égales</w:t>
      </w:r>
    </w:p>
    <w:p/>
    <w:p>
      <w:r>
        <w:rPr>
          <w:b/>
        </w:rPr>
        <w:t xml:space="preserve">Organisme : </w:t>
      </w:r>
      <w:r>
        <w:t>Affaires Mondiales Canada</w:t>
      </w:r>
    </w:p>
    <w:p>
      <w:r>
        <w:rPr>
          <w:b/>
        </w:rPr>
        <w:t xml:space="preserve">Numero de projet : </w:t>
      </w:r>
      <w:r>
        <w:t>CA-3-P010393001</w:t>
      </w:r>
    </w:p>
    <w:p>
      <w:r>
        <w:rPr>
          <w:b/>
        </w:rPr>
        <w:t xml:space="preserve">Lieu : </w:t>
      </w:r>
      <w:r/>
    </w:p>
    <w:p>
      <w:r>
        <w:rPr>
          <w:b/>
        </w:rPr>
        <w:t xml:space="preserve">Agence executive partenaire : </w:t>
      </w:r>
      <w:r>
        <w:t>ONU Femmes des femmes</w:t>
      </w:r>
    </w:p>
    <w:p>
      <w:r>
        <w:rPr>
          <w:b/>
        </w:rPr>
        <w:t xml:space="preserve">Type de financement : </w:t>
      </w:r>
      <w:r>
        <w:t>Don hors réorganisation de la dette (y compris quasi-dons)</w:t>
      </w:r>
    </w:p>
    <w:p>
      <w:r>
        <w:rPr>
          <w:b/>
        </w:rPr>
        <w:t xml:space="preserve">Dates : </w:t>
      </w:r>
      <w:r>
        <w:t>2022-03-04T00:00:00 au 2026-03-31T00:00:00</w:t>
      </w:r>
    </w:p>
    <w:p>
      <w:r>
        <w:rPr>
          <w:b/>
        </w:rPr>
        <w:t xml:space="preserve">Engagement : </w:t>
      </w:r>
      <w:r>
        <w:t>10000000.00</w:t>
      </w:r>
    </w:p>
    <w:p>
      <w:r>
        <w:rPr>
          <w:b/>
        </w:rPr>
        <w:t xml:space="preserve">Total envoye en $ : </w:t>
      </w:r>
      <w:r>
        <w:t>10000000.0</w:t>
      </w:r>
    </w:p>
    <w:p>
      <w:r>
        <w:rPr>
          <w:b/>
        </w:rPr>
        <w:t xml:space="preserve">Description : </w:t>
      </w:r>
      <w:r>
        <w:t>Le projet vise à faire progresser l’égalité économique et sociale des femmes et des filles en Dominique, à la Grenade, à Sainte-Lucie et à Saint-Vincent-et-les Grenadines. L’initiative consiste à aider ces quatre pays des Caraïbes orientales à relever les défis les plus pressants en matière d’égalité des genres, exacerbés par la crise de la COVID 19, notamment dans les domaines de l’autonomisation économique des femmes (y compris le travail de soins rémunéré et non rémunéré), de la protection sociale favorisant l’égalité des genres, et de la santé et des droits sexuels et reproductifs. L’initiative s’appuie sur la collaboration avec les gouvernements, les collectivités, le secteur privé et les organismes régionaux afin d’élaborer et de mettre en œuvre des lois, des cadres et des systèmes essentiels. Le projet vise à accroître l’accès des femmes, des filles et des groupes marginalisés et vulnérables à la formation professionnelle et aux services sociaux et de santé sexuelle et reproductive.  Les activités de ce projet comprennent : 1) fournir une aide technique aux gouvernements pour élaborer et mettre en œuvre des lois, des cadres et des politiques sur le travail de soins rémunéré et non rémunéré, y compris la budgétisation du travail de soins rémunéré et non rémunéré, ainsi que la collecte et l’analyse de données sur le travail de soins non rémunéré au moyen d’enquêtes sur la population active et le calcul des coûts pour les services de garde d’enfants subventionnés; 2) fournir une formation en gestion des affaires, y compris la gestion financière et le marketing numérique, aux microentreprises et aux petites et moyennes entreprises appartenant à des femmes, y compris dans les secteurs des soins, du tourisme et de l’agriculture, ainsi qu’aux femmes sans emploi et sous-employées; 3) fournir une aide technique aux gouvernements pour mettre en œuvre des programmes d’aide publique pour les femmes ayant des enfants de moins de cinq ans, y compris un accès prioritaire aux services de garde d’enfants et aux services de santé sexuelle et reproductive; 4) fournir une aide technique aux gouvernements et de la formation aux fournisseurs de services sur l’intégration des services de protection sociale dans les modes d’aiguillage vers les services de lutte contre la violence sexuelle et sexiste, et sur l’information de ces modes; 5) fournir une aide technique aux gouvernements en matière de réforme législative et politique lorsque les lois interdisent ou entravent l’accès à la santé et aux droits sexuels et reproductifs, et fournir une aide technique aux gouvernements et aux fournisseurs de services pour faire en sorte que les services de santé sexuelle et reproductive répondent mieux aux besoins des jeunes femmes et des adolescentes.</w:t>
      </w:r>
    </w:p>
    <w:p>
      <w:pPr>
        <w:pStyle w:val="Heading2"/>
      </w:pPr>
      <w:r>
        <w:t>Transactions</w:t>
      </w:r>
    </w:p>
    <w:p>
      <w:r>
        <w:rPr>
          <w:b/>
        </w:rPr>
        <w:t xml:space="preserve">Date : </w:t>
      </w:r>
      <w:r>
        <w:t>2022-03-04T00:00:00</w:t>
      </w:r>
      <w:r>
        <w:rPr>
          <w:b/>
        </w:rPr>
        <w:t xml:space="preserve">Type : </w:t>
      </w:r>
      <w:r>
        <w:t>Engagement</w:t>
      </w:r>
      <w:r>
        <w:rPr>
          <w:b/>
        </w:rPr>
        <w:t xml:space="preserve"> Montant : </w:t>
      </w:r>
      <w:r>
        <w:t>10000000.00</w:t>
      </w:r>
    </w:p>
    <w:p>
      <w:r>
        <w:rPr>
          <w:b/>
        </w:rPr>
        <w:t xml:space="preserve">Date : </w:t>
      </w:r>
      <w:r>
        <w:t>2022-03-15T00:00:00</w:t>
      </w:r>
      <w:r>
        <w:rPr>
          <w:b/>
        </w:rPr>
        <w:t xml:space="preserve">Type : </w:t>
      </w:r>
      <w:r>
        <w:t>Déboursé</w:t>
      </w:r>
      <w:r>
        <w:rPr>
          <w:b/>
        </w:rPr>
        <w:t xml:space="preserve"> Montant : </w:t>
      </w:r>
      <w:r>
        <w:t>5000000.00</w:t>
      </w:r>
    </w:p>
    <w:p>
      <w:r>
        <w:rPr>
          <w:b/>
        </w:rPr>
        <w:t xml:space="preserve">Date : </w:t>
      </w:r>
      <w:r>
        <w:t>2023-02-15T00:00:00</w:t>
      </w:r>
      <w:r>
        <w:rPr>
          <w:b/>
        </w:rPr>
        <w:t xml:space="preserve">Type : </w:t>
      </w:r>
      <w:r>
        <w:t>Déboursé</w:t>
      </w:r>
      <w:r>
        <w:rPr>
          <w:b/>
        </w:rPr>
        <w:t xml:space="preserve"> Montant : </w:t>
      </w:r>
      <w:r>
        <w:t>1500000.00</w:t>
      </w:r>
    </w:p>
    <w:p>
      <w:r>
        <w:rPr>
          <w:b/>
        </w:rPr>
        <w:t xml:space="preserve">Date : </w:t>
      </w:r>
      <w:r>
        <w:t>2024-01-22T00:00:00</w:t>
      </w:r>
      <w:r>
        <w:rPr>
          <w:b/>
        </w:rPr>
        <w:t xml:space="preserve">Type : </w:t>
      </w:r>
      <w:r>
        <w:t>Déboursé</w:t>
      </w:r>
      <w:r>
        <w:rPr>
          <w:b/>
        </w:rPr>
        <w:t xml:space="preserve"> Montant : </w:t>
      </w:r>
      <w:r>
        <w:t>2250000.00</w:t>
      </w:r>
    </w:p>
    <w:p>
      <w:r>
        <w:rPr>
          <w:b/>
        </w:rPr>
        <w:t xml:space="preserve">Date : </w:t>
      </w:r>
      <w:r>
        <w:t>2024-12-09T00:00:00</w:t>
      </w:r>
      <w:r>
        <w:rPr>
          <w:b/>
        </w:rPr>
        <w:t xml:space="preserve">Type : </w:t>
      </w:r>
      <w:r>
        <w:t>Déboursé</w:t>
      </w:r>
      <w:r>
        <w:rPr>
          <w:b/>
        </w:rPr>
        <w:t xml:space="preserve"> Montant : </w:t>
      </w:r>
      <w:r>
        <w:t>1250000.00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