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Convention sur les armes chimiques grâce à la mobilisation de la société civile</w:t>
      </w:r>
    </w:p>
    <w:p/>
    <w:p>
      <w:r>
        <w:rPr>
          <w:b/>
        </w:rPr>
        <w:t xml:space="preserve">Organisme : </w:t>
      </w:r>
      <w:r>
        <w:t>Affaires Mondiales Canada</w:t>
      </w:r>
    </w:p>
    <w:p>
      <w:r>
        <w:rPr>
          <w:b/>
        </w:rPr>
        <w:t xml:space="preserve">Numero de projet : </w:t>
      </w:r>
      <w:r>
        <w:t>CA-3-P012290001</w:t>
      </w:r>
    </w:p>
    <w:p>
      <w:r>
        <w:rPr>
          <w:b/>
        </w:rPr>
        <w:t xml:space="preserve">Lieu : </w:t>
      </w:r>
      <w:r>
        <w:t>Afrique, régional, Amérique, régional, Asie, régional, Océanie, régional, Europe, régional</w:t>
      </w:r>
    </w:p>
    <w:p>
      <w:r>
        <w:rPr>
          <w:b/>
        </w:rPr>
        <w:t xml:space="preserve">Agence executive partenaire : </w:t>
      </w:r>
      <w:r>
        <w:t xml:space="preserve">Arms Control Association </w:t>
      </w:r>
    </w:p>
    <w:p>
      <w:r>
        <w:rPr>
          <w:b/>
        </w:rPr>
        <w:t xml:space="preserve">Type de financement : </w:t>
      </w:r>
      <w:r>
        <w:t>Don hors réorganisation de la dette (y compris quasi-dons)</w:t>
      </w:r>
    </w:p>
    <w:p>
      <w:r>
        <w:rPr>
          <w:b/>
        </w:rPr>
        <w:t xml:space="preserve">Dates : </w:t>
      </w:r>
      <w:r>
        <w:t>2023-02-02T00:00:00 au 2025-01-31T00:00:00</w:t>
      </w:r>
    </w:p>
    <w:p>
      <w:r>
        <w:rPr>
          <w:b/>
        </w:rPr>
        <w:t xml:space="preserve">Engagement : </w:t>
      </w:r>
      <w:r>
        <w:t>289925.00</w:t>
      </w:r>
    </w:p>
    <w:p>
      <w:r>
        <w:rPr>
          <w:b/>
        </w:rPr>
        <w:t xml:space="preserve">Total envoye en $ : </w:t>
      </w:r>
      <w:r>
        <w:t>260925.0</w:t>
      </w:r>
    </w:p>
    <w:p>
      <w:r>
        <w:rPr>
          <w:b/>
        </w:rPr>
        <w:t xml:space="preserve">Description : </w:t>
      </w:r>
      <w:r>
        <w:t>Ce projet vise à renforcer la participation des organisations non gouvernementales (ONG), des universitaires, des journalistes et des experts à des dialogues politiques significatifs sur des sujets clés de la Convention sur les armes chimiques (CAC), tout en promouvant les considérations de genre. Les activités du projet comprennent : 1) promouvoir et faciliter la participation des ONG à la CAC, à la conférence des États parties et à la 5e conférence d’examen. Pour cela, il faut faciliter la participation, organiser des déclarations communes, des événements parallèles et des expositions en mettant l’accent sur la diversité des genres et la représentation géographique; 2) organiser des ateliers stratégiques en amont de la 5e conférence d’examen; 3) rédiger et diffuser un bulletin d’information mensuel et des articles dans la revue Arms Control Today. L’objectif est de partager des renseignements sur l’évolution des armes chimiques, et de fournir des données fiables sur la guerre en Ukraine et sur l’utilisation d’armes chimiques en Syrie; 4) organiser des vidéoconférences et des présentations par webinaire sur des sujets importants liés à la CAC; 5) mettre à jour régulièrement le site Web de la Coalition pour la CAC.</w:t>
      </w:r>
    </w:p>
    <w:p>
      <w:pPr>
        <w:pStyle w:val="Heading2"/>
      </w:pPr>
      <w:r>
        <w:t>Transactions</w:t>
      </w:r>
    </w:p>
    <w:p>
      <w:r>
        <w:rPr>
          <w:b/>
        </w:rPr>
        <w:t xml:space="preserve">Date : </w:t>
      </w:r>
      <w:r>
        <w:t>2023-02-02T00:00:00</w:t>
      </w:r>
      <w:r>
        <w:rPr>
          <w:b/>
        </w:rPr>
        <w:t xml:space="preserve">Type : </w:t>
      </w:r>
      <w:r>
        <w:t>Engagement</w:t>
      </w:r>
      <w:r>
        <w:rPr>
          <w:b/>
        </w:rPr>
        <w:t xml:space="preserve"> Montant : </w:t>
      </w:r>
      <w:r>
        <w:t>289925.00</w:t>
      </w:r>
    </w:p>
    <w:p>
      <w:r>
        <w:rPr>
          <w:b/>
        </w:rPr>
        <w:t xml:space="preserve">Date : </w:t>
      </w:r>
      <w:r>
        <w:t>2023-02-24T00:00:00</w:t>
      </w:r>
      <w:r>
        <w:rPr>
          <w:b/>
        </w:rPr>
        <w:t xml:space="preserve">Type : </w:t>
      </w:r>
      <w:r>
        <w:t>Déboursé</w:t>
      </w:r>
      <w:r>
        <w:rPr>
          <w:b/>
        </w:rPr>
        <w:t xml:space="preserve"> Montant : </w:t>
      </w:r>
      <w:r>
        <w:t>132733.00</w:t>
      </w:r>
    </w:p>
    <w:p>
      <w:r>
        <w:rPr>
          <w:b/>
        </w:rPr>
        <w:t xml:space="preserve">Date : </w:t>
      </w:r>
      <w:r>
        <w:t>2024-03-31T00:00:00</w:t>
      </w:r>
      <w:r>
        <w:rPr>
          <w:b/>
        </w:rPr>
        <w:t xml:space="preserve">Type : </w:t>
      </w:r>
      <w:r>
        <w:t>Déboursé</w:t>
      </w:r>
      <w:r>
        <w:rPr>
          <w:b/>
        </w:rPr>
        <w:t xml:space="preserve"> Montant : </w:t>
      </w:r>
      <w:r>
        <w:t>128192.00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