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de la réponse à la violence basée sur le genre en Mongolie</w:t>
      </w:r>
    </w:p>
    <w:p/>
    <w:p>
      <w:r>
        <w:rPr>
          <w:b/>
        </w:rPr>
        <w:t xml:space="preserve">Organisme : </w:t>
      </w:r>
      <w:r>
        <w:t>Affaires Mondiales Canada</w:t>
      </w:r>
    </w:p>
    <w:p>
      <w:r>
        <w:rPr>
          <w:b/>
        </w:rPr>
        <w:t xml:space="preserve">Numero de projet : </w:t>
      </w:r>
      <w:r>
        <w:t>CA-3-D003332001</w:t>
      </w:r>
    </w:p>
    <w:p>
      <w:r>
        <w:rPr>
          <w:b/>
        </w:rPr>
        <w:t xml:space="preserve">Lieu : </w:t>
      </w:r>
      <w:r/>
    </w:p>
    <w:p>
      <w:r>
        <w:rPr>
          <w:b/>
        </w:rPr>
        <w:t xml:space="preserve">Agence executive partenaire : </w:t>
      </w:r>
      <w:r>
        <w:t xml:space="preserve">International DevelopmentLaw Organization (IDLO) </w:t>
      </w:r>
    </w:p>
    <w:p>
      <w:r>
        <w:rPr>
          <w:b/>
        </w:rPr>
        <w:t xml:space="preserve">Type de financement : </w:t>
      </w:r>
      <w:r>
        <w:t>Don hors réorganisation de la dette (y compris quasi-dons)</w:t>
      </w:r>
    </w:p>
    <w:p>
      <w:r>
        <w:rPr>
          <w:b/>
        </w:rPr>
        <w:t xml:space="preserve">Dates : </w:t>
      </w:r>
      <w:r>
        <w:t>2019-01-10T00:00:00 au 2021-06-30T00:00:00</w:t>
      </w:r>
    </w:p>
    <w:p>
      <w:r>
        <w:rPr>
          <w:b/>
        </w:rPr>
        <w:t xml:space="preserve">Engagement : </w:t>
      </w:r>
      <w:r>
        <w:t>3200000.00</w:t>
      </w:r>
    </w:p>
    <w:p>
      <w:r>
        <w:rPr>
          <w:b/>
        </w:rPr>
        <w:t xml:space="preserve">Total envoye en $ : </w:t>
      </w:r>
      <w:r>
        <w:t>2995846.0</w:t>
      </w:r>
    </w:p>
    <w:p>
      <w:r>
        <w:rPr>
          <w:b/>
        </w:rPr>
        <w:t xml:space="preserve">Description : </w:t>
      </w:r>
      <w:r>
        <w:t>Le projet vise à promouvoir l’égalité entre les sexes et les droits de la personne en faveur des femmes et des filles en renforçant la capacité de la Mongolie à répondre à la violence basée sur le genre (VBG). Il est conçu pour soutenir les survivants de la VBG, ainsi que les acteurs du système judiciaire et les organisations de la société civile impliqués dans la réponse à la VBG en Mongolie. Les activités comprennent : 1) évaluer la réponse du système judiciaire à la VBG à travers des entrevues approfondies avec les victimes et des études de cas; 2) former la police et les procureurs dans les domaines tels que l’enquête et l’audition des survivants dans les dossiers de VBG; 3) former des organisations de la société civile mongolienne aux techniques d’observation des procès; 4) mettre en place un réseau national d’accueil et d’orientation pour permettre aux pourvoyeurs de services de répondre de manière rapide efficace aux victimes de VBG; 5) organiser des ateliers pour informer les femmes et les filles sur leurs droits légaux, les solutions et les structures de soutien.</w:t>
      </w:r>
    </w:p>
    <w:p>
      <w:pPr>
        <w:pStyle w:val="Heading2"/>
      </w:pPr>
      <w:r>
        <w:t>Transactions</w:t>
      </w:r>
    </w:p>
    <w:p>
      <w:r>
        <w:rPr>
          <w:b/>
        </w:rPr>
        <w:t xml:space="preserve">Date : </w:t>
      </w:r>
      <w:r>
        <w:t>2019-01-10T00:00:00</w:t>
      </w:r>
      <w:r>
        <w:rPr>
          <w:b/>
        </w:rPr>
        <w:t xml:space="preserve">Type : </w:t>
      </w:r>
      <w:r>
        <w:t>Engagement</w:t>
      </w:r>
      <w:r>
        <w:rPr>
          <w:b/>
        </w:rPr>
        <w:t xml:space="preserve"> Montant : </w:t>
      </w:r>
      <w:r>
        <w:t>3200000.00</w:t>
      </w:r>
    </w:p>
    <w:p>
      <w:r>
        <w:rPr>
          <w:b/>
        </w:rPr>
        <w:t xml:space="preserve">Date : </w:t>
      </w:r>
      <w:r>
        <w:t>2019-03-26T00:00:00</w:t>
      </w:r>
      <w:r>
        <w:rPr>
          <w:b/>
        </w:rPr>
        <w:t xml:space="preserve">Type : </w:t>
      </w:r>
      <w:r>
        <w:t>Déboursé</w:t>
      </w:r>
      <w:r>
        <w:rPr>
          <w:b/>
        </w:rPr>
        <w:t xml:space="preserve"> Montant : </w:t>
      </w:r>
      <w:r>
        <w:t>1000000.00</w:t>
      </w:r>
    </w:p>
    <w:p>
      <w:r>
        <w:rPr>
          <w:b/>
        </w:rPr>
        <w:t xml:space="preserve">Date : </w:t>
      </w:r>
      <w:r>
        <w:t>2020-03-31T00:00:00</w:t>
      </w:r>
      <w:r>
        <w:rPr>
          <w:b/>
        </w:rPr>
        <w:t xml:space="preserve">Type : </w:t>
      </w:r>
      <w:r>
        <w:t>Déboursé</w:t>
      </w:r>
      <w:r>
        <w:rPr>
          <w:b/>
        </w:rPr>
        <w:t xml:space="preserve"> Montant : </w:t>
      </w:r>
      <w:r>
        <w:t>250000.00</w:t>
      </w:r>
    </w:p>
    <w:p>
      <w:r>
        <w:rPr>
          <w:b/>
        </w:rPr>
        <w:t xml:space="preserve">Date : </w:t>
      </w:r>
      <w:r>
        <w:t>2020-04-15T00:00:00</w:t>
      </w:r>
      <w:r>
        <w:rPr>
          <w:b/>
        </w:rPr>
        <w:t xml:space="preserve">Type : </w:t>
      </w:r>
      <w:r>
        <w:t>Déboursé</w:t>
      </w:r>
      <w:r>
        <w:rPr>
          <w:b/>
        </w:rPr>
        <w:t xml:space="preserve"> Montant : </w:t>
      </w:r>
      <w:r>
        <w:t>571423.00</w:t>
      </w:r>
    </w:p>
    <w:p>
      <w:r>
        <w:rPr>
          <w:b/>
        </w:rPr>
        <w:t xml:space="preserve">Date : </w:t>
      </w:r>
      <w:r>
        <w:t>2021-04-21T00:00:00</w:t>
      </w:r>
      <w:r>
        <w:rPr>
          <w:b/>
        </w:rPr>
        <w:t xml:space="preserve">Type : </w:t>
      </w:r>
      <w:r>
        <w:t>Déboursé</w:t>
      </w:r>
      <w:r>
        <w:rPr>
          <w:b/>
        </w:rPr>
        <w:t xml:space="preserve"> Montant : </w:t>
      </w:r>
      <w:r>
        <w:t>634587.15</w:t>
      </w:r>
    </w:p>
    <w:p>
      <w:r>
        <w:rPr>
          <w:b/>
        </w:rPr>
        <w:t xml:space="preserve">Date : </w:t>
      </w:r>
      <w:r>
        <w:t>2021-06-23T00:00:00</w:t>
      </w:r>
      <w:r>
        <w:rPr>
          <w:b/>
        </w:rPr>
        <w:t xml:space="preserve">Type : </w:t>
      </w:r>
      <w:r>
        <w:t>Déboursé</w:t>
      </w:r>
      <w:r>
        <w:rPr>
          <w:b/>
        </w:rPr>
        <w:t xml:space="preserve"> Montant : </w:t>
      </w:r>
      <w:r>
        <w:t>1446.42</w:t>
      </w:r>
    </w:p>
    <w:p>
      <w:r>
        <w:rPr>
          <w:b/>
        </w:rPr>
        <w:t xml:space="preserve">Date : </w:t>
      </w:r>
      <w:r>
        <w:t>2022-05-30T00:00:00</w:t>
      </w:r>
      <w:r>
        <w:rPr>
          <w:b/>
        </w:rPr>
        <w:t xml:space="preserve">Type : </w:t>
      </w:r>
      <w:r>
        <w:t>Déboursé</w:t>
      </w:r>
      <w:r>
        <w:rPr>
          <w:b/>
        </w:rPr>
        <w:t xml:space="preserve"> Montant : </w:t>
      </w:r>
      <w:r>
        <w:t>388597.43</w:t>
      </w:r>
    </w:p>
    <w:p>
      <w:r>
        <w:rPr>
          <w:b/>
        </w:rPr>
        <w:t xml:space="preserve">Date : </w:t>
      </w:r>
      <w:r>
        <w:t>2024-03-04T00:00:00</w:t>
      </w:r>
      <w:r>
        <w:rPr>
          <w:b/>
        </w:rPr>
        <w:t xml:space="preserve">Type : </w:t>
      </w:r>
      <w:r>
        <w:t>Déboursé</w:t>
      </w:r>
      <w:r>
        <w:rPr>
          <w:b/>
        </w:rPr>
        <w:t xml:space="preserve"> Montant : </w:t>
      </w:r>
      <w:r>
        <w:t>149792.00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