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pouvoir des femmes et des filles grâce à l’éducation inclusive dans les CHT</w:t>
      </w:r>
    </w:p>
    <w:p/>
    <w:p>
      <w:r>
        <w:rPr>
          <w:b/>
        </w:rPr>
        <w:t xml:space="preserve">Organisme : </w:t>
      </w:r>
      <w:r>
        <w:t>Affaires Mondiales Canada</w:t>
      </w:r>
    </w:p>
    <w:p>
      <w:r>
        <w:rPr>
          <w:b/>
        </w:rPr>
        <w:t xml:space="preserve">Numero de projet : </w:t>
      </w:r>
      <w:r>
        <w:t>CA-3-P012796001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2024-02-28T00:00:00 au 2029-03-31T00:00:00</w:t>
      </w:r>
    </w:p>
    <w:p>
      <w:r>
        <w:rPr>
          <w:b/>
        </w:rPr>
        <w:t xml:space="preserve">Engagement : </w:t>
      </w:r>
      <w:r>
        <w:t>8000000.00</w:t>
      </w:r>
    </w:p>
    <w:p>
      <w:r>
        <w:rPr>
          <w:b/>
        </w:rPr>
        <w:t xml:space="preserve">Total envoye en $ : </w:t>
      </w:r>
      <w:r>
        <w:t>500000.0</w:t>
      </w:r>
    </w:p>
    <w:p>
      <w:r>
        <w:rPr>
          <w:b/>
        </w:rPr>
        <w:t xml:space="preserve">Description : </w:t>
      </w:r>
      <w:r>
        <w:t>Ce projet vise à améliorer la qualité de l'éducation, à réduire les obstacles à l'éducation des filles et à leur donner les moyens de poursuivre leurs études dans la région des Chittagong Hill Tracts au Bangladesh. Le projet vise à améliorer l'accès à une éducation sûre et inclusive pour 16 800 filles et 14 744 garçons, en particulier ceux issus de minorités ethniques et ceux souffrant de handicaps. Le projet vise également à renforcer 71 écoles secondaires informelles afin qu'elles deviennent des écoles accréditées financées par le gouvernement du Bangladesh.  Les activités du projet comprennent (1) l'organisation d'événements de sensibilisation avec les principaux acteurs de l'éducation sur l'importance et la valeur de l'éducation des filles et des femmes. Cela comprend la prévention de la discrimination et de la violence fondées sur le sexe, ainsi qu'un espace d'apprentissage sûr dans les écoles ; (2) le renforcement des compétences des enseignants en matière de pédagogie, de techniques d'enseignement sensibles au genre et de compétences de vie ; et (3) la mise en place d'un mécanisme pour les écoles secondaires informelles afin de soutenir leur accréditation en tant qu'écoles publiques.</w:t>
      </w:r>
    </w:p>
    <w:p>
      <w:pPr>
        <w:pStyle w:val="Heading2"/>
      </w:pPr>
      <w:r>
        <w:t>Transactions</w:t>
      </w:r>
    </w:p>
    <w:p>
      <w:r>
        <w:rPr>
          <w:b/>
        </w:rPr>
        <w:t xml:space="preserve">Date : </w:t>
      </w:r>
      <w:r>
        <w:t>2024-02-28T00:00:00</w:t>
      </w:r>
      <w:r>
        <w:rPr>
          <w:b/>
        </w:rPr>
        <w:t xml:space="preserve">Type : </w:t>
      </w:r>
      <w:r>
        <w:t>Engagement</w:t>
      </w:r>
      <w:r>
        <w:rPr>
          <w:b/>
        </w:rPr>
        <w:t xml:space="preserve"> Montant : </w:t>
      </w:r>
      <w:r>
        <w:t>8000000.00</w:t>
      </w:r>
    </w:p>
    <w:p>
      <w:r>
        <w:rPr>
          <w:b/>
        </w:rPr>
        <w:t xml:space="preserve">Date : </w:t>
      </w:r>
      <w:r>
        <w:t>2024-03-01T00:00:00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