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capacité à coordonner la réponse à la violence basée sur le genre au Moyen-Orient</w:t>
      </w:r>
    </w:p>
    <w:p/>
    <w:p>
      <w:r>
        <w:rPr>
          <w:b/>
        </w:rPr>
        <w:t xml:space="preserve">Organisme : </w:t>
      </w:r>
      <w:r>
        <w:t>Affaires Mondiales Canada</w:t>
      </w:r>
    </w:p>
    <w:p>
      <w:r>
        <w:rPr>
          <w:b/>
        </w:rPr>
        <w:t xml:space="preserve">Numero de projet : </w:t>
      </w:r>
      <w:r>
        <w:t>CA-3-P011380001</w:t>
      </w:r>
    </w:p>
    <w:p>
      <w:r>
        <w:rPr>
          <w:b/>
        </w:rPr>
        <w:t xml:space="preserve">Lieu : </w:t>
      </w:r>
      <w:r>
        <w:t>Moyen-Orient,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2022-06-06T00:00:00 au 2025-06-30T00:00:00</w:t>
      </w:r>
    </w:p>
    <w:p>
      <w:r>
        <w:rPr>
          <w:b/>
        </w:rPr>
        <w:t xml:space="preserve">Engagement : </w:t>
      </w:r>
      <w:r>
        <w:t>5400000.00</w:t>
      </w:r>
    </w:p>
    <w:p>
      <w:r>
        <w:rPr>
          <w:b/>
        </w:rPr>
        <w:t xml:space="preserve">Total envoye en $ : </w:t>
      </w:r>
      <w:r>
        <w:t>5400000.0</w:t>
      </w:r>
    </w:p>
    <w:p>
      <w:r>
        <w:rPr>
          <w:b/>
        </w:rPr>
        <w:t xml:space="preserve">Description : </w:t>
      </w:r>
      <w:r>
        <w:t>Mars 2022 – Les besoins humanitaires découlant des crises en Syrie et en Irak demeurent importants dans tout le Moyen-Orient. La violence persistante en Syrie n’offre que peu de possibilités pour le retour volontaire, sûr, durable et digne de plus de 5,6 millions de réfugiés dans la région. Les personnes déplacées à l’intérieur de leur pays se comptent par millions en Syrie et en Irak, et les réfugiés qui font face à des déplacements prolongés dans les pays d’accueil continuent d’éprouver des besoins humanitaires aigus en Jordanie et au Liban. Le Yémen continue de subir l’une des plus grandes crises humanitaires du monde et compte 20,7 millions de personnes qui ont besoin d’une aide humanitaire. En Libye, on estime que 823 000 personnes, dont environ 248 000 enfants, ont besoin d’une aide humanitaire en raison de la persistance de l’instabilité politique, du conflit et de l’insécurité, de l’effondrement de l’État de droit, de la détérioration du secteur public et du dysfonctionnement de l’économie.  Avec le soutien d’AMC, le Fonds des Nations Unies pour la population (FNUAP) soutient la coordination des interventions humanitaires liées à la violence sexuelle et fondée sur le genre (VSFG) et à la santé sexuelle et reproductive (SSR) à l’échelle du Moyen-Orient, particulièrement en Irak, en Jordanie, au Liban, au Yémen, en Libye et en Syrie. Les activités du projet comprennent : 1) améliorer et mettre en œuvre des stratégies et des services regroupés en matière de VSFG et de SSR et donner de l’information à cet égard; 2) assurer le suivi et l’évaluation de l’efficacité des interventions en matière de VSFG et de SSR, y compris l’élaboration de produits d’information et d’analyse; 3) renforcer les capacités des intervenants de première ligne, locaux et nationaux, chargés des interventions liées à la VSFG et à la SSR afin de fournir des interventions de qualité à cet égard.</w:t>
      </w:r>
    </w:p>
    <w:p>
      <w:pPr>
        <w:pStyle w:val="Heading2"/>
      </w:pPr>
      <w:r>
        <w:t>Transactions</w:t>
      </w:r>
    </w:p>
    <w:p>
      <w:r>
        <w:rPr>
          <w:b/>
        </w:rPr>
        <w:t xml:space="preserve">Date : </w:t>
      </w:r>
      <w:r>
        <w:t>2022-06-06T00:00:00</w:t>
      </w:r>
      <w:r>
        <w:rPr>
          <w:b/>
        </w:rPr>
        <w:t xml:space="preserve">Type : </w:t>
      </w:r>
      <w:r>
        <w:t>Engagement</w:t>
      </w:r>
      <w:r>
        <w:rPr>
          <w:b/>
        </w:rPr>
        <w:t xml:space="preserve"> Montant : </w:t>
      </w:r>
      <w:r>
        <w:t>5400000.00</w:t>
      </w:r>
    </w:p>
    <w:p>
      <w:r>
        <w:rPr>
          <w:b/>
        </w:rPr>
        <w:t xml:space="preserve">Date : </w:t>
      </w:r>
      <w:r>
        <w:t>2022-06-14T00:00:00</w:t>
      </w:r>
      <w:r>
        <w:rPr>
          <w:b/>
        </w:rPr>
        <w:t xml:space="preserve">Type : </w:t>
      </w:r>
      <w:r>
        <w:t>Déboursé</w:t>
      </w:r>
      <w:r>
        <w:rPr>
          <w:b/>
        </w:rPr>
        <w:t xml:space="preserve"> Montant : </w:t>
      </w:r>
      <w:r>
        <w:t>1800000.00</w:t>
      </w:r>
    </w:p>
    <w:p>
      <w:r>
        <w:rPr>
          <w:b/>
        </w:rPr>
        <w:t xml:space="preserve">Date : </w:t>
      </w:r>
      <w:r>
        <w:t>2023-05-12T00:00:00</w:t>
      </w:r>
      <w:r>
        <w:rPr>
          <w:b/>
        </w:rPr>
        <w:t xml:space="preserve">Type : </w:t>
      </w:r>
      <w:r>
        <w:t>Déboursé</w:t>
      </w:r>
      <w:r>
        <w:rPr>
          <w:b/>
        </w:rPr>
        <w:t xml:space="preserve"> Montant : </w:t>
      </w:r>
      <w:r>
        <w:t>1800000.00</w:t>
      </w:r>
    </w:p>
    <w:p>
      <w:r>
        <w:rPr>
          <w:b/>
        </w:rPr>
        <w:t xml:space="preserve">Date : </w:t>
      </w:r>
      <w:r>
        <w:t>2024-06-06T00:00:00</w:t>
      </w:r>
      <w:r>
        <w:rPr>
          <w:b/>
        </w:rPr>
        <w:t xml:space="preserve">Type : </w:t>
      </w:r>
      <w:r>
        <w:t>Déboursé</w:t>
      </w:r>
      <w:r>
        <w:rPr>
          <w:b/>
        </w:rPr>
        <w:t xml:space="preserve"> Montant : </w:t>
      </w:r>
      <w:r>
        <w:t>1800000.00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